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A4A9" w14:textId="2713CE12" w:rsidR="007A251B" w:rsidRDefault="008E0CD9">
      <w:r>
        <w:rPr>
          <w:noProof/>
        </w:rPr>
        <w:drawing>
          <wp:inline distT="0" distB="0" distL="0" distR="0" wp14:anchorId="3654A81E" wp14:editId="1107DC59">
            <wp:extent cx="5943600" cy="6469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6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558CA" w14:textId="3CBC0577" w:rsidR="008E0CD9" w:rsidRDefault="008E0CD9"/>
    <w:p w14:paraId="142A7608" w14:textId="35A63FFE" w:rsidR="008E0CD9" w:rsidRDefault="008E0CD9">
      <w:r>
        <w:rPr>
          <w:noProof/>
        </w:rPr>
        <w:lastRenderedPageBreak/>
        <w:drawing>
          <wp:inline distT="0" distB="0" distL="0" distR="0" wp14:anchorId="60BEA1AC" wp14:editId="11424037">
            <wp:extent cx="5943600" cy="61131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1CE16" w14:textId="126DF902" w:rsidR="008E0CD9" w:rsidRDefault="008E0CD9">
      <w:r>
        <w:rPr>
          <w:noProof/>
        </w:rPr>
        <w:drawing>
          <wp:inline distT="0" distB="0" distL="0" distR="0" wp14:anchorId="6C36C1BF" wp14:editId="534993AA">
            <wp:extent cx="5943600" cy="6432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895C" w14:textId="50005AC6" w:rsidR="000C097D" w:rsidRDefault="000C097D"/>
    <w:p w14:paraId="38A73B4B" w14:textId="6364F3FA" w:rsidR="000C097D" w:rsidRDefault="000C097D"/>
    <w:p w14:paraId="32F0BAE0" w14:textId="583E0348" w:rsidR="000C097D" w:rsidRDefault="000C097D"/>
    <w:p w14:paraId="5E10CE2D" w14:textId="45C27933" w:rsidR="000C097D" w:rsidRDefault="000C097D"/>
    <w:p w14:paraId="7739AA80" w14:textId="77777777" w:rsidR="000C097D" w:rsidRPr="000C097D" w:rsidRDefault="000C097D" w:rsidP="000C097D">
      <w:pPr>
        <w:jc w:val="both"/>
        <w:rPr>
          <w:rFonts w:ascii="Arial" w:hAnsi="Arial" w:cs="Arial"/>
        </w:rPr>
      </w:pPr>
      <w:r w:rsidRPr="000C097D">
        <w:rPr>
          <w:rFonts w:ascii="Arial" w:hAnsi="Arial" w:cs="Arial"/>
        </w:rPr>
        <w:t>  An overview of the payment calculation is broken into multiple pieces:</w:t>
      </w:r>
    </w:p>
    <w:p w14:paraId="7A4EEC81" w14:textId="77777777" w:rsidR="000C097D" w:rsidRPr="000C097D" w:rsidRDefault="000C097D" w:rsidP="000C097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>Determination of eligibility to be in the PBIP payments:</w:t>
      </w:r>
    </w:p>
    <w:p w14:paraId="40D40261" w14:textId="0EA1BED0" w:rsidR="000C097D" w:rsidRPr="000C097D" w:rsidRDefault="000C097D" w:rsidP="000C097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>Calculation of all of the quality metrics to determine if the individual PCMH meets the necessary 2/3 passing rate (i.e., metrics that the PCMH has met the required denominator size)</w:t>
      </w:r>
    </w:p>
    <w:p w14:paraId="206C2446" w14:textId="77777777" w:rsidR="000C097D" w:rsidRPr="000C097D" w:rsidRDefault="000C097D" w:rsidP="000C097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>Determination if they meet the measurement year’s CORE metrics</w:t>
      </w:r>
    </w:p>
    <w:p w14:paraId="6FB84D85" w14:textId="77777777" w:rsidR="000C097D" w:rsidRPr="000C097D" w:rsidRDefault="000C097D" w:rsidP="000C097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>Determination if meeting the PSA criteria</w:t>
      </w:r>
    </w:p>
    <w:p w14:paraId="0C82DB16" w14:textId="77777777" w:rsidR="000C097D" w:rsidRPr="000C097D" w:rsidRDefault="000C097D" w:rsidP="000C097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>PBIP for the AHU and EDU metrics</w:t>
      </w:r>
    </w:p>
    <w:p w14:paraId="131B8089" w14:textId="77777777" w:rsidR="000C097D" w:rsidRPr="000C097D" w:rsidRDefault="000C097D" w:rsidP="000C097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 xml:space="preserve">Develop and run advanced risk adjustment models for the individual AHU &amp; EDU metrics to determine the expected number of events based on the patient </w:t>
      </w:r>
    </w:p>
    <w:p w14:paraId="211EBB53" w14:textId="77777777" w:rsidR="000C097D" w:rsidRPr="000C097D" w:rsidRDefault="000C097D" w:rsidP="000C097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 xml:space="preserve">For each PCMH, calculate the ratio of expected to actual events for the AHU &amp; EDU metrics </w:t>
      </w:r>
    </w:p>
    <w:p w14:paraId="3305116E" w14:textId="37FE20FF" w:rsidR="000C097D" w:rsidRPr="000C097D" w:rsidRDefault="000C097D" w:rsidP="000C097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>Based upon the previous bullet’s calculation, rank the PCMHs and then put them into either the top 10%, 11-35% or over 35% categories</w:t>
      </w:r>
    </w:p>
    <w:p w14:paraId="647A7E3A" w14:textId="77777777" w:rsidR="000C097D" w:rsidRPr="000C097D" w:rsidRDefault="000C097D" w:rsidP="000C097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 xml:space="preserve">Calculate each PCMHs member months </w:t>
      </w:r>
    </w:p>
    <w:p w14:paraId="4A496C08" w14:textId="77777777" w:rsidR="000C097D" w:rsidRPr="000C097D" w:rsidRDefault="000C097D" w:rsidP="000C097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 xml:space="preserve">Based on the PCMH ranked category, the payout is member months X metric ranking payment </w:t>
      </w:r>
    </w:p>
    <w:p w14:paraId="7DC25D7F" w14:textId="77777777" w:rsidR="000C097D" w:rsidRPr="000C097D" w:rsidRDefault="000C097D" w:rsidP="000C097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>    PBIP for the focus metric</w:t>
      </w:r>
    </w:p>
    <w:p w14:paraId="2489D53D" w14:textId="77777777" w:rsidR="000C097D" w:rsidRPr="000C097D" w:rsidRDefault="000C097D" w:rsidP="000C097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>For each PCMH, calculate the focus metric</w:t>
      </w:r>
    </w:p>
    <w:p w14:paraId="56C641A0" w14:textId="04659AE6" w:rsidR="000C097D" w:rsidRPr="000C097D" w:rsidRDefault="000C097D" w:rsidP="000C097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>Based upon the previous bullet’s calculation, rank the PCMHs and then put them into either the top 10%, 11-35% or over 35% categories</w:t>
      </w:r>
    </w:p>
    <w:p w14:paraId="0ED0875F" w14:textId="77777777" w:rsidR="000C097D" w:rsidRPr="000C097D" w:rsidRDefault="000C097D" w:rsidP="000C097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 xml:space="preserve">Calculate each PCMHs member months </w:t>
      </w:r>
    </w:p>
    <w:p w14:paraId="70E5FEBB" w14:textId="77777777" w:rsidR="000C097D" w:rsidRPr="000C097D" w:rsidRDefault="000C097D" w:rsidP="000C097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C097D">
        <w:rPr>
          <w:rFonts w:ascii="Arial" w:eastAsia="Times New Roman" w:hAnsi="Arial" w:cs="Arial"/>
        </w:rPr>
        <w:t xml:space="preserve">Based on the PCMH ranked category, the payout is member months X metric ranking payment </w:t>
      </w:r>
    </w:p>
    <w:p w14:paraId="50B08619" w14:textId="77777777" w:rsidR="000C097D" w:rsidRDefault="000C097D"/>
    <w:p w14:paraId="79343868" w14:textId="77777777" w:rsidR="000C097D" w:rsidRDefault="000C097D"/>
    <w:sectPr w:rsidR="000C097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59D7" w14:textId="77777777" w:rsidR="00765131" w:rsidRDefault="00765131" w:rsidP="000C097D">
      <w:pPr>
        <w:spacing w:after="0" w:line="240" w:lineRule="auto"/>
      </w:pPr>
      <w:r>
        <w:separator/>
      </w:r>
    </w:p>
  </w:endnote>
  <w:endnote w:type="continuationSeparator" w:id="0">
    <w:p w14:paraId="28E2D0C3" w14:textId="77777777" w:rsidR="00765131" w:rsidRDefault="00765131" w:rsidP="000C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7EE0" w14:textId="77777777" w:rsidR="00765131" w:rsidRDefault="00765131" w:rsidP="000C097D">
      <w:pPr>
        <w:spacing w:after="0" w:line="240" w:lineRule="auto"/>
      </w:pPr>
      <w:r>
        <w:separator/>
      </w:r>
    </w:p>
  </w:footnote>
  <w:footnote w:type="continuationSeparator" w:id="0">
    <w:p w14:paraId="7F9674E8" w14:textId="77777777" w:rsidR="00765131" w:rsidRDefault="00765131" w:rsidP="000C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2C62" w14:textId="60BFC0ED" w:rsidR="000C097D" w:rsidRPr="00D774E5" w:rsidRDefault="000C097D" w:rsidP="000C097D">
    <w:pPr>
      <w:spacing w:line="264" w:lineRule="auto"/>
      <w:jc w:val="center"/>
      <w:rPr>
        <w:rFonts w:ascii="Arial" w:hAnsi="Arial" w:cs="Arial"/>
        <w:b/>
        <w:bCs/>
        <w:sz w:val="28"/>
        <w:szCs w:val="28"/>
      </w:rPr>
    </w:pPr>
    <w:r w:rsidRPr="00D774E5">
      <w:rPr>
        <w:rFonts w:ascii="Arial" w:hAnsi="Arial" w:cs="Arial"/>
        <w:b/>
        <w:bCs/>
        <w:sz w:val="28"/>
        <w:szCs w:val="28"/>
      </w:rPr>
      <w:t>APPENDIX 2</w:t>
    </w:r>
  </w:p>
  <w:p w14:paraId="37592714" w14:textId="47AC3C13" w:rsidR="00D774E5" w:rsidRDefault="00D774E5" w:rsidP="000C097D">
    <w:pPr>
      <w:spacing w:line="264" w:lineRule="auto"/>
      <w:jc w:val="center"/>
      <w:rPr>
        <w:rFonts w:ascii="Arial" w:hAnsi="Arial" w:cs="Arial"/>
        <w:b/>
        <w:bCs/>
        <w:color w:val="0070C0"/>
        <w:sz w:val="28"/>
        <w:szCs w:val="28"/>
      </w:rPr>
    </w:pPr>
    <w:r w:rsidRPr="00D774E5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5B4F9" wp14:editId="097C8A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BC20B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D774E5">
      <w:rPr>
        <w:rFonts w:ascii="Arial" w:hAnsi="Arial" w:cs="Arial"/>
        <w:b/>
        <w:bCs/>
        <w:sz w:val="28"/>
        <w:szCs w:val="28"/>
      </w:rPr>
      <w:t xml:space="preserve">Incentive Payments </w:t>
    </w:r>
    <w:r w:rsidRPr="00D774E5">
      <w:rPr>
        <w:rFonts w:ascii="Arial" w:hAnsi="Arial" w:cs="Arial"/>
        <w:b/>
        <w:bCs/>
        <w:color w:val="0070C0"/>
        <w:sz w:val="28"/>
        <w:szCs w:val="28"/>
      </w:rPr>
      <w:t xml:space="preserve"> </w:t>
    </w:r>
  </w:p>
  <w:p w14:paraId="76C77115" w14:textId="77777777" w:rsidR="003D39F3" w:rsidRPr="003D39F3" w:rsidRDefault="003D39F3" w:rsidP="003D39F3">
    <w:pPr>
      <w:spacing w:line="264" w:lineRule="auto"/>
      <w:jc w:val="center"/>
      <w:rPr>
        <w:rFonts w:ascii="Arial" w:hAnsi="Arial" w:cs="Arial"/>
        <w:b/>
        <w:bCs/>
        <w:sz w:val="24"/>
        <w:szCs w:val="24"/>
      </w:rPr>
    </w:pPr>
    <w:r w:rsidRPr="003D39F3">
      <w:rPr>
        <w:rFonts w:ascii="Arial" w:hAnsi="Arial" w:cs="Arial"/>
        <w:b/>
        <w:bCs/>
        <w:sz w:val="24"/>
        <w:szCs w:val="24"/>
      </w:rPr>
      <w:t>RFP # 710-22-0034</w:t>
    </w:r>
  </w:p>
  <w:p w14:paraId="20472330" w14:textId="77777777" w:rsidR="000C097D" w:rsidRDefault="000C0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3FD"/>
    <w:multiLevelType w:val="hybridMultilevel"/>
    <w:tmpl w:val="A4E46FF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29B77A07"/>
    <w:multiLevelType w:val="hybridMultilevel"/>
    <w:tmpl w:val="751AFC8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48080C37"/>
    <w:multiLevelType w:val="hybridMultilevel"/>
    <w:tmpl w:val="3BC68310"/>
    <w:lvl w:ilvl="0" w:tplc="55924324"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D9"/>
    <w:rsid w:val="000C097D"/>
    <w:rsid w:val="003D39F3"/>
    <w:rsid w:val="00631EFE"/>
    <w:rsid w:val="00765131"/>
    <w:rsid w:val="007A251B"/>
    <w:rsid w:val="008A4CDE"/>
    <w:rsid w:val="008E0CD9"/>
    <w:rsid w:val="00BF6552"/>
    <w:rsid w:val="00D6565D"/>
    <w:rsid w:val="00D7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D7C7"/>
  <w15:chartTrackingRefBased/>
  <w15:docId w15:val="{E75A463C-A1D2-4218-B509-53297E1E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7D"/>
  </w:style>
  <w:style w:type="paragraph" w:styleId="Footer">
    <w:name w:val="footer"/>
    <w:basedOn w:val="Normal"/>
    <w:link w:val="FooterChar"/>
    <w:uiPriority w:val="99"/>
    <w:unhideWhenUsed/>
    <w:rsid w:val="000C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610D83539A4AACB95F2A636E376C" ma:contentTypeVersion="4" ma:contentTypeDescription="Create a new document." ma:contentTypeScope="" ma:versionID="5191ef97b0b7b4c2bc3285751fe80c96">
  <xsd:schema xmlns:xsd="http://www.w3.org/2001/XMLSchema" xmlns:xs="http://www.w3.org/2001/XMLSchema" xmlns:p="http://schemas.microsoft.com/office/2006/metadata/properties" xmlns:ns2="ec93c5ad-c239-4f98-ba9c-8792b34d284d" xmlns:ns3="34354bcd-9f19-49ff-be41-0a8edec883ce" targetNamespace="http://schemas.microsoft.com/office/2006/metadata/properties" ma:root="true" ma:fieldsID="8fdfb08c06fd4ea196b89a295692dba4" ns2:_="" ns3:_="">
    <xsd:import namespace="ec93c5ad-c239-4f98-ba9c-8792b34d284d"/>
    <xsd:import namespace="34354bcd-9f19-49ff-be41-0a8edec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3c5ad-c239-4f98-ba9c-8792b34d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bcd-9f19-49ff-be41-0a8edec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3F562-34EC-4CED-B41A-E18D89378258}"/>
</file>

<file path=customXml/itemProps2.xml><?xml version="1.0" encoding="utf-8"?>
<ds:datastoreItem xmlns:ds="http://schemas.openxmlformats.org/officeDocument/2006/customXml" ds:itemID="{CF040578-E6CD-48F2-81E1-27C405F5DDD5}"/>
</file>

<file path=customXml/itemProps3.xml><?xml version="1.0" encoding="utf-8"?>
<ds:datastoreItem xmlns:ds="http://schemas.openxmlformats.org/officeDocument/2006/customXml" ds:itemID="{88D624A0-8561-45C3-A13C-A4D61DA0E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Ballard</dc:creator>
  <cp:keywords/>
  <dc:description/>
  <cp:lastModifiedBy>Shannon Berry</cp:lastModifiedBy>
  <cp:revision>5</cp:revision>
  <dcterms:created xsi:type="dcterms:W3CDTF">2022-03-31T14:58:00Z</dcterms:created>
  <dcterms:modified xsi:type="dcterms:W3CDTF">2022-04-19T14:07:00Z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0x0101002ED7610D83539A4AACB95F2A636E376C</vt:lpwstr>
  </property>
</Properties>
</file>