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1D73D6"/>
        <w:tblLayout w:type="fixed"/>
        <w:tblLook w:val="0000" w:firstRow="0" w:lastRow="0" w:firstColumn="0" w:lastColumn="0" w:noHBand="0" w:noVBand="0"/>
      </w:tblPr>
      <w:tblGrid>
        <w:gridCol w:w="8122"/>
        <w:gridCol w:w="1238"/>
      </w:tblGrid>
      <w:tr w:rsidR="00E00954" w:rsidRPr="00C90D20" w14:paraId="44C02738" w14:textId="77777777" w:rsidTr="001D24B6">
        <w:trPr>
          <w:cantSplit/>
        </w:trPr>
        <w:tc>
          <w:tcPr>
            <w:tcW w:w="8122" w:type="dxa"/>
            <w:shd w:val="clear" w:color="auto" w:fill="1D73D6"/>
          </w:tcPr>
          <w:p w14:paraId="216BCF94" w14:textId="77777777" w:rsidR="00E00954" w:rsidRPr="00C90D20" w:rsidRDefault="00E00954" w:rsidP="001D24B6">
            <w:pPr>
              <w:pStyle w:val="cTOCHead"/>
            </w:pPr>
            <w:r w:rsidRPr="00C90D20">
              <w:t>section ii – ADULT DEVELOPMENTAL DAY TREATMENT</w:t>
            </w:r>
          </w:p>
          <w:p w14:paraId="4007222E" w14:textId="77777777" w:rsidR="00E00954" w:rsidRPr="00C90D20" w:rsidRDefault="00E00954" w:rsidP="001D24B6">
            <w:pPr>
              <w:pStyle w:val="cTOCHead"/>
            </w:pPr>
            <w:r w:rsidRPr="00C90D20">
              <w:t>Contents</w:t>
            </w:r>
          </w:p>
        </w:tc>
        <w:tc>
          <w:tcPr>
            <w:tcW w:w="1238" w:type="dxa"/>
            <w:shd w:val="clear" w:color="auto" w:fill="1D73D6"/>
            <w:vAlign w:val="center"/>
          </w:tcPr>
          <w:p w14:paraId="6CB70823" w14:textId="77777777" w:rsidR="00E00954" w:rsidRPr="00C90D20" w:rsidRDefault="00E00954" w:rsidP="001D24B6">
            <w:pPr>
              <w:pStyle w:val="cDate1"/>
            </w:pPr>
          </w:p>
        </w:tc>
      </w:tr>
    </w:tbl>
    <w:bookmarkStart w:id="0" w:name="_Hlk110436778"/>
    <w:p w14:paraId="5FB57D62" w14:textId="77777777" w:rsidR="00752458" w:rsidRDefault="00E00954">
      <w:pPr>
        <w:pStyle w:val="TOC1"/>
        <w:rPr>
          <w:rFonts w:asciiTheme="minorHAnsi" w:eastAsiaTheme="minorEastAsia" w:hAnsiTheme="minorHAnsi" w:cstheme="minorBidi"/>
          <w:b w:val="0"/>
          <w:caps w:val="0"/>
          <w:color w:val="auto"/>
          <w:kern w:val="2"/>
          <w:sz w:val="24"/>
          <w:szCs w:val="24"/>
          <w14:ligatures w14:val="standardContextual"/>
        </w:rPr>
      </w:pPr>
      <w:r w:rsidRPr="00C90D20">
        <w:fldChar w:fldCharType="begin"/>
      </w:r>
      <w:r w:rsidRPr="00C90D20">
        <w:instrText xml:space="preserve"> TOC \n \h \z \t "chead1,1,chead2,2" </w:instrText>
      </w:r>
      <w:r w:rsidRPr="00C90D20">
        <w:fldChar w:fldCharType="separate"/>
      </w:r>
      <w:hyperlink w:anchor="_Toc199342348" w:history="1">
        <w:r w:rsidR="00752458" w:rsidRPr="00523A4E">
          <w:rPr>
            <w:rStyle w:val="Hyperlink"/>
          </w:rPr>
          <w:t>200.000</w:t>
        </w:r>
        <w:r w:rsidR="00752458">
          <w:rPr>
            <w:rFonts w:asciiTheme="minorHAnsi" w:eastAsiaTheme="minorEastAsia" w:hAnsiTheme="minorHAnsi" w:cstheme="minorBidi"/>
            <w:b w:val="0"/>
            <w:caps w:val="0"/>
            <w:color w:val="auto"/>
            <w:kern w:val="2"/>
            <w:sz w:val="24"/>
            <w:szCs w:val="24"/>
            <w14:ligatures w14:val="standardContextual"/>
          </w:rPr>
          <w:tab/>
        </w:r>
        <w:r w:rsidR="00752458" w:rsidRPr="00523A4E">
          <w:rPr>
            <w:rStyle w:val="Hyperlink"/>
          </w:rPr>
          <w:t>adult developmental Day Treatment (ADDT) GENERAL INFORMATION</w:t>
        </w:r>
      </w:hyperlink>
    </w:p>
    <w:p w14:paraId="50980B04"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49" w:history="1">
        <w:r w:rsidRPr="00523A4E">
          <w:rPr>
            <w:rStyle w:val="Hyperlink"/>
          </w:rPr>
          <w:t>201.000</w:t>
        </w:r>
        <w:r>
          <w:rPr>
            <w:rFonts w:asciiTheme="minorHAnsi" w:eastAsiaTheme="minorEastAsia" w:hAnsiTheme="minorHAnsi" w:cstheme="minorBidi"/>
            <w:kern w:val="2"/>
            <w:sz w:val="24"/>
            <w:szCs w:val="24"/>
            <w14:ligatures w14:val="standardContextual"/>
          </w:rPr>
          <w:tab/>
        </w:r>
        <w:r w:rsidRPr="00523A4E">
          <w:rPr>
            <w:rStyle w:val="Hyperlink"/>
          </w:rPr>
          <w:t>Arkansas Medicaid Participation Requirements for Adult Developmental Day Treatment (ADDT) Providers</w:t>
        </w:r>
      </w:hyperlink>
    </w:p>
    <w:p w14:paraId="73EB804D"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50" w:history="1">
        <w:r w:rsidRPr="00523A4E">
          <w:rPr>
            <w:rStyle w:val="Hyperlink"/>
          </w:rPr>
          <w:t>201.100</w:t>
        </w:r>
        <w:r>
          <w:rPr>
            <w:rFonts w:asciiTheme="minorHAnsi" w:eastAsiaTheme="minorEastAsia" w:hAnsiTheme="minorHAnsi" w:cstheme="minorBidi"/>
            <w:kern w:val="2"/>
            <w:sz w:val="24"/>
            <w:szCs w:val="24"/>
            <w14:ligatures w14:val="standardContextual"/>
          </w:rPr>
          <w:tab/>
        </w:r>
        <w:r w:rsidRPr="00523A4E">
          <w:rPr>
            <w:rStyle w:val="Hyperlink"/>
          </w:rPr>
          <w:t>ADDT Providers in Arkansas and Bordering States</w:t>
        </w:r>
      </w:hyperlink>
    </w:p>
    <w:p w14:paraId="2CA600BC"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51" w:history="1">
        <w:r w:rsidRPr="00523A4E">
          <w:rPr>
            <w:rStyle w:val="Hyperlink"/>
          </w:rPr>
          <w:t>202.000</w:t>
        </w:r>
        <w:r>
          <w:rPr>
            <w:rFonts w:asciiTheme="minorHAnsi" w:eastAsiaTheme="minorEastAsia" w:hAnsiTheme="minorHAnsi" w:cstheme="minorBidi"/>
            <w:kern w:val="2"/>
            <w:sz w:val="24"/>
            <w:szCs w:val="24"/>
            <w14:ligatures w14:val="standardContextual"/>
          </w:rPr>
          <w:tab/>
        </w:r>
        <w:r w:rsidRPr="00523A4E">
          <w:rPr>
            <w:rStyle w:val="Hyperlink"/>
          </w:rPr>
          <w:t>Documentation Requirements</w:t>
        </w:r>
      </w:hyperlink>
    </w:p>
    <w:p w14:paraId="77770263"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52" w:history="1">
        <w:r w:rsidRPr="00523A4E">
          <w:rPr>
            <w:rStyle w:val="Hyperlink"/>
          </w:rPr>
          <w:t>202.100</w:t>
        </w:r>
        <w:r>
          <w:rPr>
            <w:rFonts w:asciiTheme="minorHAnsi" w:eastAsiaTheme="minorEastAsia" w:hAnsiTheme="minorHAnsi" w:cstheme="minorBidi"/>
            <w:kern w:val="2"/>
            <w:sz w:val="24"/>
            <w:szCs w:val="24"/>
            <w14:ligatures w14:val="standardContextual"/>
          </w:rPr>
          <w:tab/>
        </w:r>
        <w:r w:rsidRPr="00523A4E">
          <w:rPr>
            <w:rStyle w:val="Hyperlink"/>
          </w:rPr>
          <w:t>Documentation Requirements for All Medicaid Providers</w:t>
        </w:r>
      </w:hyperlink>
    </w:p>
    <w:p w14:paraId="2BA384DB"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53" w:history="1">
        <w:r w:rsidRPr="00523A4E">
          <w:rPr>
            <w:rStyle w:val="Hyperlink"/>
          </w:rPr>
          <w:t>202.200</w:t>
        </w:r>
        <w:r>
          <w:rPr>
            <w:rFonts w:asciiTheme="minorHAnsi" w:eastAsiaTheme="minorEastAsia" w:hAnsiTheme="minorHAnsi" w:cstheme="minorBidi"/>
            <w:kern w:val="2"/>
            <w:sz w:val="24"/>
            <w:szCs w:val="24"/>
            <w14:ligatures w14:val="standardContextual"/>
          </w:rPr>
          <w:tab/>
        </w:r>
        <w:r w:rsidRPr="00523A4E">
          <w:rPr>
            <w:rStyle w:val="Hyperlink"/>
          </w:rPr>
          <w:t>ADDT Documentation Requirements</w:t>
        </w:r>
      </w:hyperlink>
    </w:p>
    <w:p w14:paraId="3B2C86D2"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54" w:history="1">
        <w:r w:rsidRPr="00523A4E">
          <w:rPr>
            <w:rStyle w:val="Hyperlink"/>
          </w:rPr>
          <w:t>202.300</w:t>
        </w:r>
        <w:r>
          <w:rPr>
            <w:rFonts w:asciiTheme="minorHAnsi" w:eastAsiaTheme="minorEastAsia" w:hAnsiTheme="minorHAnsi" w:cstheme="minorBidi"/>
            <w:kern w:val="2"/>
            <w:sz w:val="24"/>
            <w:szCs w:val="24"/>
            <w14:ligatures w14:val="standardContextual"/>
          </w:rPr>
          <w:tab/>
        </w:r>
        <w:r w:rsidRPr="00523A4E">
          <w:rPr>
            <w:rStyle w:val="Hyperlink"/>
          </w:rPr>
          <w:t>Electronic Signatures</w:t>
        </w:r>
      </w:hyperlink>
    </w:p>
    <w:p w14:paraId="363D0825" w14:textId="77777777" w:rsidR="00752458" w:rsidRDefault="00752458">
      <w:pPr>
        <w:pStyle w:val="TOC1"/>
        <w:rPr>
          <w:rFonts w:asciiTheme="minorHAnsi" w:eastAsiaTheme="minorEastAsia" w:hAnsiTheme="minorHAnsi" w:cstheme="minorBidi"/>
          <w:b w:val="0"/>
          <w:caps w:val="0"/>
          <w:color w:val="auto"/>
          <w:kern w:val="2"/>
          <w:sz w:val="24"/>
          <w:szCs w:val="24"/>
          <w14:ligatures w14:val="standardContextual"/>
        </w:rPr>
      </w:pPr>
      <w:hyperlink w:anchor="_Toc199342355" w:history="1">
        <w:r w:rsidRPr="00523A4E">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523A4E">
          <w:rPr>
            <w:rStyle w:val="Hyperlink"/>
          </w:rPr>
          <w:t>PROGRAM COVERAGE</w:t>
        </w:r>
      </w:hyperlink>
    </w:p>
    <w:p w14:paraId="5E6E55D2"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56" w:history="1">
        <w:r w:rsidRPr="00523A4E">
          <w:rPr>
            <w:rStyle w:val="Hyperlink"/>
          </w:rPr>
          <w:t>211.000</w:t>
        </w:r>
        <w:r>
          <w:rPr>
            <w:rFonts w:asciiTheme="minorHAnsi" w:eastAsiaTheme="minorEastAsia" w:hAnsiTheme="minorHAnsi" w:cstheme="minorBidi"/>
            <w:kern w:val="2"/>
            <w:sz w:val="24"/>
            <w:szCs w:val="24"/>
            <w14:ligatures w14:val="standardContextual"/>
          </w:rPr>
          <w:tab/>
        </w:r>
        <w:r w:rsidRPr="00523A4E">
          <w:rPr>
            <w:rStyle w:val="Hyperlink"/>
          </w:rPr>
          <w:t>Introduction</w:t>
        </w:r>
      </w:hyperlink>
    </w:p>
    <w:p w14:paraId="49DF4616"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57" w:history="1">
        <w:r w:rsidRPr="00523A4E">
          <w:rPr>
            <w:rStyle w:val="Hyperlink"/>
          </w:rPr>
          <w:t>212.000</w:t>
        </w:r>
        <w:r>
          <w:rPr>
            <w:rFonts w:asciiTheme="minorHAnsi" w:eastAsiaTheme="minorEastAsia" w:hAnsiTheme="minorHAnsi" w:cstheme="minorBidi"/>
            <w:kern w:val="2"/>
            <w:sz w:val="24"/>
            <w:szCs w:val="24"/>
            <w14:ligatures w14:val="standardContextual"/>
          </w:rPr>
          <w:tab/>
        </w:r>
        <w:r w:rsidRPr="00523A4E">
          <w:rPr>
            <w:rStyle w:val="Hyperlink"/>
          </w:rPr>
          <w:t>Establishing Eligibility</w:t>
        </w:r>
      </w:hyperlink>
    </w:p>
    <w:p w14:paraId="159089F2"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58" w:history="1">
        <w:r w:rsidRPr="00523A4E">
          <w:rPr>
            <w:rStyle w:val="Hyperlink"/>
          </w:rPr>
          <w:t>212.100</w:t>
        </w:r>
        <w:r>
          <w:rPr>
            <w:rFonts w:asciiTheme="minorHAnsi" w:eastAsiaTheme="minorEastAsia" w:hAnsiTheme="minorHAnsi" w:cstheme="minorBidi"/>
            <w:kern w:val="2"/>
            <w:sz w:val="24"/>
            <w:szCs w:val="24"/>
            <w14:ligatures w14:val="standardContextual"/>
          </w:rPr>
          <w:tab/>
        </w:r>
        <w:r w:rsidRPr="00523A4E">
          <w:rPr>
            <w:rStyle w:val="Hyperlink"/>
          </w:rPr>
          <w:t>Age Requirement</w:t>
        </w:r>
      </w:hyperlink>
    </w:p>
    <w:p w14:paraId="6508B51F"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59" w:history="1">
        <w:r w:rsidRPr="00523A4E">
          <w:rPr>
            <w:rStyle w:val="Hyperlink"/>
          </w:rPr>
          <w:t>212.200</w:t>
        </w:r>
        <w:r>
          <w:rPr>
            <w:rFonts w:asciiTheme="minorHAnsi" w:eastAsiaTheme="minorEastAsia" w:hAnsiTheme="minorHAnsi" w:cstheme="minorBidi"/>
            <w:kern w:val="2"/>
            <w:sz w:val="24"/>
            <w:szCs w:val="24"/>
            <w14:ligatures w14:val="standardContextual"/>
          </w:rPr>
          <w:tab/>
        </w:r>
        <w:r w:rsidRPr="00523A4E">
          <w:rPr>
            <w:rStyle w:val="Hyperlink"/>
          </w:rPr>
          <w:t>Prescription</w:t>
        </w:r>
      </w:hyperlink>
    </w:p>
    <w:p w14:paraId="1A19468C"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60" w:history="1">
        <w:r w:rsidRPr="00523A4E">
          <w:rPr>
            <w:rStyle w:val="Hyperlink"/>
          </w:rPr>
          <w:t>212.300</w:t>
        </w:r>
        <w:r>
          <w:rPr>
            <w:rFonts w:asciiTheme="minorHAnsi" w:eastAsiaTheme="minorEastAsia" w:hAnsiTheme="minorHAnsi" w:cstheme="minorBidi"/>
            <w:kern w:val="2"/>
            <w:sz w:val="24"/>
            <w:szCs w:val="24"/>
            <w14:ligatures w14:val="standardContextual"/>
          </w:rPr>
          <w:tab/>
        </w:r>
        <w:r w:rsidRPr="00523A4E">
          <w:rPr>
            <w:rStyle w:val="Hyperlink"/>
          </w:rPr>
          <w:t>Qualifying Diagnosis</w:t>
        </w:r>
      </w:hyperlink>
    </w:p>
    <w:p w14:paraId="56B42BFE"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61" w:history="1">
        <w:r w:rsidRPr="00523A4E">
          <w:rPr>
            <w:rStyle w:val="Hyperlink"/>
          </w:rPr>
          <w:t>213.000</w:t>
        </w:r>
        <w:r>
          <w:rPr>
            <w:rFonts w:asciiTheme="minorHAnsi" w:eastAsiaTheme="minorEastAsia" w:hAnsiTheme="minorHAnsi" w:cstheme="minorBidi"/>
            <w:kern w:val="2"/>
            <w:sz w:val="24"/>
            <w:szCs w:val="24"/>
            <w14:ligatures w14:val="standardContextual"/>
          </w:rPr>
          <w:tab/>
        </w:r>
        <w:r w:rsidRPr="00523A4E">
          <w:rPr>
            <w:rStyle w:val="Hyperlink"/>
          </w:rPr>
          <w:t>Non-Covered Services</w:t>
        </w:r>
      </w:hyperlink>
    </w:p>
    <w:p w14:paraId="5908A5E2"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62" w:history="1">
        <w:r w:rsidRPr="00523A4E">
          <w:rPr>
            <w:rStyle w:val="Hyperlink"/>
          </w:rPr>
          <w:t>214.000</w:t>
        </w:r>
        <w:r>
          <w:rPr>
            <w:rFonts w:asciiTheme="minorHAnsi" w:eastAsiaTheme="minorEastAsia" w:hAnsiTheme="minorHAnsi" w:cstheme="minorBidi"/>
            <w:kern w:val="2"/>
            <w:sz w:val="24"/>
            <w:szCs w:val="24"/>
            <w14:ligatures w14:val="standardContextual"/>
          </w:rPr>
          <w:tab/>
        </w:r>
        <w:r w:rsidRPr="00523A4E">
          <w:rPr>
            <w:rStyle w:val="Hyperlink"/>
          </w:rPr>
          <w:t>Covered ADDT Services</w:t>
        </w:r>
      </w:hyperlink>
    </w:p>
    <w:p w14:paraId="3BD0BD8C"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63" w:history="1">
        <w:r w:rsidRPr="00523A4E">
          <w:rPr>
            <w:rStyle w:val="Hyperlink"/>
          </w:rPr>
          <w:t>214.100</w:t>
        </w:r>
        <w:r>
          <w:rPr>
            <w:rFonts w:asciiTheme="minorHAnsi" w:eastAsiaTheme="minorEastAsia" w:hAnsiTheme="minorHAnsi" w:cstheme="minorBidi"/>
            <w:kern w:val="2"/>
            <w:sz w:val="24"/>
            <w:szCs w:val="24"/>
            <w14:ligatures w14:val="standardContextual"/>
          </w:rPr>
          <w:tab/>
        </w:r>
        <w:r w:rsidRPr="00523A4E">
          <w:rPr>
            <w:rStyle w:val="Hyperlink"/>
          </w:rPr>
          <w:t>ADDT Core Services</w:t>
        </w:r>
      </w:hyperlink>
    </w:p>
    <w:p w14:paraId="520473A8"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64" w:history="1">
        <w:r w:rsidRPr="00523A4E">
          <w:rPr>
            <w:rStyle w:val="Hyperlink"/>
          </w:rPr>
          <w:t>214.110</w:t>
        </w:r>
        <w:r>
          <w:rPr>
            <w:rFonts w:asciiTheme="minorHAnsi" w:eastAsiaTheme="minorEastAsia" w:hAnsiTheme="minorHAnsi" w:cstheme="minorBidi"/>
            <w:kern w:val="2"/>
            <w:sz w:val="24"/>
            <w:szCs w:val="24"/>
            <w14:ligatures w14:val="standardContextual"/>
          </w:rPr>
          <w:tab/>
        </w:r>
        <w:r w:rsidRPr="00523A4E">
          <w:rPr>
            <w:rStyle w:val="Hyperlink"/>
          </w:rPr>
          <w:t>ADDT Evaluation and Treatment Planning Services</w:t>
        </w:r>
      </w:hyperlink>
    </w:p>
    <w:p w14:paraId="0FD5DF08"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65" w:history="1">
        <w:r w:rsidRPr="00523A4E">
          <w:rPr>
            <w:rStyle w:val="Hyperlink"/>
          </w:rPr>
          <w:t>214.120</w:t>
        </w:r>
        <w:r>
          <w:rPr>
            <w:rFonts w:asciiTheme="minorHAnsi" w:eastAsiaTheme="minorEastAsia" w:hAnsiTheme="minorHAnsi" w:cstheme="minorBidi"/>
            <w:kern w:val="2"/>
            <w:sz w:val="24"/>
            <w:szCs w:val="24"/>
            <w14:ligatures w14:val="standardContextual"/>
          </w:rPr>
          <w:tab/>
        </w:r>
        <w:r w:rsidRPr="00523A4E">
          <w:rPr>
            <w:rStyle w:val="Hyperlink"/>
          </w:rPr>
          <w:t>Day Habilitative Services</w:t>
        </w:r>
      </w:hyperlink>
    </w:p>
    <w:p w14:paraId="1AD9F812"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66" w:history="1">
        <w:r w:rsidRPr="00523A4E">
          <w:rPr>
            <w:rStyle w:val="Hyperlink"/>
          </w:rPr>
          <w:t>214.200</w:t>
        </w:r>
        <w:r>
          <w:rPr>
            <w:rFonts w:asciiTheme="minorHAnsi" w:eastAsiaTheme="minorEastAsia" w:hAnsiTheme="minorHAnsi" w:cstheme="minorBidi"/>
            <w:kern w:val="2"/>
            <w:sz w:val="24"/>
            <w:szCs w:val="24"/>
            <w14:ligatures w14:val="standardContextual"/>
          </w:rPr>
          <w:tab/>
        </w:r>
        <w:r w:rsidRPr="00523A4E">
          <w:rPr>
            <w:rStyle w:val="Hyperlink"/>
          </w:rPr>
          <w:t>ADDT Optional Services</w:t>
        </w:r>
      </w:hyperlink>
    </w:p>
    <w:p w14:paraId="370E8CED"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67" w:history="1">
        <w:r w:rsidRPr="00523A4E">
          <w:rPr>
            <w:rStyle w:val="Hyperlink"/>
          </w:rPr>
          <w:t>214.210</w:t>
        </w:r>
        <w:r>
          <w:rPr>
            <w:rFonts w:asciiTheme="minorHAnsi" w:eastAsiaTheme="minorEastAsia" w:hAnsiTheme="minorHAnsi" w:cstheme="minorBidi"/>
            <w:kern w:val="2"/>
            <w:sz w:val="24"/>
            <w:szCs w:val="24"/>
            <w14:ligatures w14:val="standardContextual"/>
          </w:rPr>
          <w:tab/>
        </w:r>
        <w:r w:rsidRPr="00523A4E">
          <w:rPr>
            <w:rStyle w:val="Hyperlink"/>
          </w:rPr>
          <w:t>Occupational</w:t>
        </w:r>
        <w:r w:rsidRPr="00523A4E">
          <w:rPr>
            <w:rStyle w:val="Hyperlink"/>
            <w:highlight w:val="yellow"/>
          </w:rPr>
          <w:t xml:space="preserve"> Therapy</w:t>
        </w:r>
        <w:r w:rsidRPr="00523A4E">
          <w:rPr>
            <w:rStyle w:val="Hyperlink"/>
          </w:rPr>
          <w:t>, Physical</w:t>
        </w:r>
        <w:r w:rsidRPr="00523A4E">
          <w:rPr>
            <w:rStyle w:val="Hyperlink"/>
            <w:highlight w:val="yellow"/>
          </w:rPr>
          <w:t xml:space="preserve"> Therapy,</w:t>
        </w:r>
        <w:r w:rsidRPr="00523A4E">
          <w:rPr>
            <w:rStyle w:val="Hyperlink"/>
          </w:rPr>
          <w:t xml:space="preserve"> and Speech-Language </w:t>
        </w:r>
        <w:r w:rsidRPr="00523A4E">
          <w:rPr>
            <w:rStyle w:val="Hyperlink"/>
            <w:highlight w:val="yellow"/>
          </w:rPr>
          <w:t xml:space="preserve">Pathology </w:t>
        </w:r>
        <w:r w:rsidRPr="00523A4E">
          <w:rPr>
            <w:rStyle w:val="Hyperlink"/>
          </w:rPr>
          <w:t>Services</w:t>
        </w:r>
      </w:hyperlink>
    </w:p>
    <w:p w14:paraId="44413764"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68" w:history="1">
        <w:r w:rsidRPr="00523A4E">
          <w:rPr>
            <w:rStyle w:val="Hyperlink"/>
          </w:rPr>
          <w:t>214.220</w:t>
        </w:r>
        <w:r>
          <w:rPr>
            <w:rFonts w:asciiTheme="minorHAnsi" w:eastAsiaTheme="minorEastAsia" w:hAnsiTheme="minorHAnsi" w:cstheme="minorBidi"/>
            <w:kern w:val="2"/>
            <w:sz w:val="24"/>
            <w:szCs w:val="24"/>
            <w14:ligatures w14:val="standardContextual"/>
          </w:rPr>
          <w:tab/>
        </w:r>
        <w:r w:rsidRPr="00523A4E">
          <w:rPr>
            <w:rStyle w:val="Hyperlink"/>
          </w:rPr>
          <w:t>Nursing Services</w:t>
        </w:r>
      </w:hyperlink>
    </w:p>
    <w:p w14:paraId="14F6C242"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69" w:history="1">
        <w:r w:rsidRPr="00523A4E">
          <w:rPr>
            <w:rStyle w:val="Hyperlink"/>
            <w:highlight w:val="yellow"/>
          </w:rPr>
          <w:t>214.230</w:t>
        </w:r>
        <w:r>
          <w:rPr>
            <w:rFonts w:asciiTheme="minorHAnsi" w:eastAsiaTheme="minorEastAsia" w:hAnsiTheme="minorHAnsi" w:cstheme="minorBidi"/>
            <w:kern w:val="2"/>
            <w:sz w:val="24"/>
            <w:szCs w:val="24"/>
            <w14:ligatures w14:val="standardContextual"/>
          </w:rPr>
          <w:tab/>
        </w:r>
        <w:r w:rsidRPr="00523A4E">
          <w:rPr>
            <w:rStyle w:val="Hyperlink"/>
            <w:highlight w:val="yellow"/>
          </w:rPr>
          <w:t>ADDT Transportation Services</w:t>
        </w:r>
      </w:hyperlink>
    </w:p>
    <w:p w14:paraId="59872A07"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70" w:history="1">
        <w:r w:rsidRPr="00523A4E">
          <w:rPr>
            <w:rStyle w:val="Hyperlink"/>
          </w:rPr>
          <w:t>215.000</w:t>
        </w:r>
        <w:r>
          <w:rPr>
            <w:rFonts w:asciiTheme="minorHAnsi" w:eastAsiaTheme="minorEastAsia" w:hAnsiTheme="minorHAnsi" w:cstheme="minorBidi"/>
            <w:kern w:val="2"/>
            <w:sz w:val="24"/>
            <w:szCs w:val="24"/>
            <w14:ligatures w14:val="standardContextual"/>
          </w:rPr>
          <w:tab/>
        </w:r>
        <w:r w:rsidRPr="00523A4E">
          <w:rPr>
            <w:rStyle w:val="Hyperlink"/>
          </w:rPr>
          <w:t>Individual Treatment Plan (ITP)</w:t>
        </w:r>
      </w:hyperlink>
    </w:p>
    <w:p w14:paraId="31643665" w14:textId="77777777" w:rsidR="00752458" w:rsidRDefault="00752458">
      <w:pPr>
        <w:pStyle w:val="TOC1"/>
        <w:rPr>
          <w:rFonts w:asciiTheme="minorHAnsi" w:eastAsiaTheme="minorEastAsia" w:hAnsiTheme="minorHAnsi" w:cstheme="minorBidi"/>
          <w:b w:val="0"/>
          <w:caps w:val="0"/>
          <w:color w:val="auto"/>
          <w:kern w:val="2"/>
          <w:sz w:val="24"/>
          <w:szCs w:val="24"/>
          <w14:ligatures w14:val="standardContextual"/>
        </w:rPr>
      </w:pPr>
      <w:hyperlink w:anchor="_Toc199342371" w:history="1">
        <w:r w:rsidRPr="00523A4E">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523A4E">
          <w:rPr>
            <w:rStyle w:val="Hyperlink"/>
          </w:rPr>
          <w:t>PRIOR AUTHORIZATION</w:t>
        </w:r>
      </w:hyperlink>
    </w:p>
    <w:p w14:paraId="6C879116" w14:textId="77777777" w:rsidR="00752458" w:rsidRDefault="00752458">
      <w:pPr>
        <w:pStyle w:val="TOC1"/>
        <w:rPr>
          <w:rFonts w:asciiTheme="minorHAnsi" w:eastAsiaTheme="minorEastAsia" w:hAnsiTheme="minorHAnsi" w:cstheme="minorBidi"/>
          <w:b w:val="0"/>
          <w:caps w:val="0"/>
          <w:color w:val="auto"/>
          <w:kern w:val="2"/>
          <w:sz w:val="24"/>
          <w:szCs w:val="24"/>
          <w14:ligatures w14:val="standardContextual"/>
        </w:rPr>
      </w:pPr>
      <w:hyperlink w:anchor="_Toc199342372" w:history="1">
        <w:r w:rsidRPr="00523A4E">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523A4E">
          <w:rPr>
            <w:rStyle w:val="Hyperlink"/>
          </w:rPr>
          <w:t>REIMBURSEMENT and recoupment</w:t>
        </w:r>
      </w:hyperlink>
    </w:p>
    <w:p w14:paraId="27D5F560"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73" w:history="1">
        <w:r w:rsidRPr="00523A4E">
          <w:rPr>
            <w:rStyle w:val="Hyperlink"/>
          </w:rPr>
          <w:t>231.000</w:t>
        </w:r>
        <w:r>
          <w:rPr>
            <w:rFonts w:asciiTheme="minorHAnsi" w:eastAsiaTheme="minorEastAsia" w:hAnsiTheme="minorHAnsi" w:cstheme="minorBidi"/>
            <w:kern w:val="2"/>
            <w:sz w:val="24"/>
            <w:szCs w:val="24"/>
            <w14:ligatures w14:val="standardContextual"/>
          </w:rPr>
          <w:tab/>
        </w:r>
        <w:r w:rsidRPr="00523A4E">
          <w:rPr>
            <w:rStyle w:val="Hyperlink"/>
          </w:rPr>
          <w:t>Method of Reimbursement</w:t>
        </w:r>
      </w:hyperlink>
    </w:p>
    <w:p w14:paraId="56332B6E" w14:textId="77777777" w:rsidR="00752458" w:rsidRDefault="00752458">
      <w:pPr>
        <w:pStyle w:val="TOC2"/>
        <w:rPr>
          <w:rFonts w:asciiTheme="minorHAnsi" w:eastAsiaTheme="minorEastAsia" w:hAnsiTheme="minorHAnsi" w:cstheme="minorBidi"/>
          <w:kern w:val="2"/>
          <w:sz w:val="24"/>
          <w:szCs w:val="24"/>
          <w14:ligatures w14:val="standardContextual"/>
        </w:rPr>
      </w:pPr>
      <w:hyperlink w:anchor="_Toc199342374" w:history="1">
        <w:r w:rsidRPr="00523A4E">
          <w:rPr>
            <w:rStyle w:val="Hyperlink"/>
          </w:rPr>
          <w:t>231.100</w:t>
        </w:r>
        <w:r>
          <w:rPr>
            <w:rFonts w:asciiTheme="minorHAnsi" w:eastAsiaTheme="minorEastAsia" w:hAnsiTheme="minorHAnsi" w:cstheme="minorBidi"/>
            <w:kern w:val="2"/>
            <w:sz w:val="24"/>
            <w:szCs w:val="24"/>
            <w14:ligatures w14:val="standardContextual"/>
          </w:rPr>
          <w:tab/>
        </w:r>
        <w:r w:rsidRPr="00523A4E">
          <w:rPr>
            <w:rStyle w:val="Hyperlink"/>
          </w:rPr>
          <w:t>Fee Schedules</w:t>
        </w:r>
      </w:hyperlink>
    </w:p>
    <w:p w14:paraId="0B6B3033" w14:textId="041606B6" w:rsidR="00FD6F7A" w:rsidRPr="00C90D20" w:rsidRDefault="00E00954" w:rsidP="00E00954">
      <w:pPr>
        <w:pStyle w:val="ctablespace"/>
        <w:rPr>
          <w:lang w:val="x-none" w:eastAsia="x-none"/>
        </w:rPr>
      </w:pPr>
      <w:r w:rsidRPr="00C90D20">
        <w:fldChar w:fldCharType="end"/>
      </w:r>
    </w:p>
    <w:tbl>
      <w:tblPr>
        <w:tblW w:w="9360" w:type="dxa"/>
        <w:tblLook w:val="0000" w:firstRow="0" w:lastRow="0" w:firstColumn="0" w:lastColumn="0" w:noHBand="0" w:noVBand="0"/>
      </w:tblPr>
      <w:tblGrid>
        <w:gridCol w:w="8122"/>
        <w:gridCol w:w="1238"/>
      </w:tblGrid>
      <w:tr w:rsidR="00FD6F7A" w:rsidRPr="00C90D20" w14:paraId="30149614" w14:textId="77777777" w:rsidTr="007D6051">
        <w:trPr>
          <w:cantSplit/>
        </w:trPr>
        <w:tc>
          <w:tcPr>
            <w:tcW w:w="8122" w:type="dxa"/>
            <w:shd w:val="clear" w:color="auto" w:fill="1D73D6"/>
          </w:tcPr>
          <w:p w14:paraId="2A24DE55" w14:textId="77777777" w:rsidR="00834F63" w:rsidRPr="00C90D20" w:rsidRDefault="00FD6F7A" w:rsidP="00F85FB4">
            <w:pPr>
              <w:pStyle w:val="chead1"/>
            </w:pPr>
            <w:bookmarkStart w:id="1" w:name="_Toc20534673"/>
            <w:bookmarkStart w:id="2" w:name="_Toc20534709"/>
            <w:bookmarkStart w:id="3" w:name="_Toc20537986"/>
            <w:bookmarkStart w:id="4" w:name="_Toc20534446"/>
            <w:bookmarkStart w:id="5" w:name="_Toc24252726"/>
            <w:bookmarkStart w:id="6" w:name="_Toc24443503"/>
            <w:bookmarkStart w:id="7" w:name="_Toc474231148"/>
            <w:bookmarkStart w:id="8" w:name="_Toc199342348"/>
            <w:bookmarkEnd w:id="0"/>
            <w:r w:rsidRPr="00C90D20">
              <w:t>200.000</w:t>
            </w:r>
            <w:r w:rsidRPr="00C90D20">
              <w:tab/>
              <w:t>adult developmental Day Treatment (ADDT) GENERAL INFORMATION</w:t>
            </w:r>
            <w:bookmarkEnd w:id="1"/>
            <w:bookmarkEnd w:id="2"/>
            <w:bookmarkEnd w:id="3"/>
            <w:bookmarkEnd w:id="4"/>
            <w:bookmarkEnd w:id="5"/>
            <w:bookmarkEnd w:id="6"/>
            <w:bookmarkEnd w:id="7"/>
            <w:bookmarkEnd w:id="8"/>
          </w:p>
        </w:tc>
        <w:tc>
          <w:tcPr>
            <w:tcW w:w="1238" w:type="dxa"/>
            <w:shd w:val="clear" w:color="auto" w:fill="1D73D6"/>
            <w:vAlign w:val="center"/>
          </w:tcPr>
          <w:p w14:paraId="6372397F" w14:textId="77777777" w:rsidR="00FD6F7A" w:rsidRPr="00C90D20" w:rsidRDefault="00FD6F7A" w:rsidP="007D6051">
            <w:pPr>
              <w:pStyle w:val="cDate1"/>
              <w:rPr>
                <w:bCs/>
              </w:rPr>
            </w:pPr>
          </w:p>
        </w:tc>
      </w:tr>
      <w:tr w:rsidR="00867EF6" w:rsidRPr="00C90D20" w14:paraId="5D01BC0C" w14:textId="77777777" w:rsidTr="0086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20CE480C" w14:textId="77777777" w:rsidR="00867EF6" w:rsidRPr="00C90D20" w:rsidRDefault="00867EF6" w:rsidP="00867EF6">
            <w:pPr>
              <w:pStyle w:val="chead2"/>
            </w:pPr>
            <w:bookmarkStart w:id="9" w:name="_Toc199342349"/>
            <w:r w:rsidRPr="00C90D20">
              <w:t>201.000</w:t>
            </w:r>
            <w:r w:rsidRPr="00C90D20">
              <w:tab/>
            </w:r>
            <w:r w:rsidR="00C90D20">
              <w:t>Arkansas Medicaid Participation Requirements for Adult Developmental Day Treatment (ADDT) Providers</w:t>
            </w:r>
            <w:bookmarkEnd w:id="9"/>
          </w:p>
        </w:tc>
        <w:tc>
          <w:tcPr>
            <w:tcW w:w="1238" w:type="dxa"/>
            <w:tcBorders>
              <w:top w:val="nil"/>
              <w:left w:val="single" w:sz="6" w:space="0" w:color="FFFFFF"/>
              <w:bottom w:val="single" w:sz="2" w:space="0" w:color="FFFFFF"/>
              <w:right w:val="single" w:sz="2" w:space="0" w:color="FFFFFF"/>
            </w:tcBorders>
          </w:tcPr>
          <w:p w14:paraId="24AEB27A" w14:textId="77777777" w:rsidR="00867EF6" w:rsidRPr="00C90D20" w:rsidRDefault="00C90D20" w:rsidP="009D5485">
            <w:pPr>
              <w:pStyle w:val="cDate2"/>
            </w:pPr>
            <w:r>
              <w:t>8-1-22</w:t>
            </w:r>
          </w:p>
        </w:tc>
      </w:tr>
    </w:tbl>
    <w:p w14:paraId="26980E60" w14:textId="77777777" w:rsidR="00C90D20" w:rsidRDefault="00C90D20" w:rsidP="00C90D20">
      <w:pPr>
        <w:pStyle w:val="ctext"/>
      </w:pPr>
      <w:r>
        <w:t>A provider must meet the following participation requirements to qualify as an Adult Developmental Day Treatment (ADDT) provider under Arkansas Medicaid:</w:t>
      </w:r>
    </w:p>
    <w:p w14:paraId="326C2F93" w14:textId="77777777" w:rsidR="00C90D20" w:rsidRDefault="00C90D20" w:rsidP="00C90D20">
      <w:pPr>
        <w:pStyle w:val="CLETTERED"/>
        <w:rPr>
          <w:highlight w:val="yellow"/>
        </w:rPr>
      </w:pPr>
      <w:r>
        <w:rPr>
          <w:highlight w:val="yellow"/>
        </w:rPr>
        <w:t>A</w:t>
      </w:r>
      <w:r>
        <w:t>.</w:t>
      </w:r>
      <w:r>
        <w:tab/>
        <w:t xml:space="preserve">Obtain an Adult Developmental Day Treatment license issued by the Arkansas </w:t>
      </w:r>
      <w:r>
        <w:rPr>
          <w:highlight w:val="yellow"/>
        </w:rPr>
        <w:t>D</w:t>
      </w:r>
      <w:r>
        <w:t>epartment of Human Services, Division of Provider Services and Quality Assurance</w:t>
      </w:r>
      <w:r>
        <w:rPr>
          <w:highlight w:val="yellow"/>
        </w:rPr>
        <w:t>, and</w:t>
      </w:r>
    </w:p>
    <w:p w14:paraId="7B69E4CE" w14:textId="77777777" w:rsidR="00C90D20" w:rsidRDefault="00C90D20" w:rsidP="00C90D20">
      <w:pPr>
        <w:pStyle w:val="CLETTERED"/>
      </w:pPr>
      <w:r>
        <w:rPr>
          <w:highlight w:val="yellow"/>
        </w:rPr>
        <w:t>B.</w:t>
      </w:r>
      <w:r>
        <w:rPr>
          <w:highlight w:val="yellow"/>
        </w:rPr>
        <w:tab/>
        <w:t>Complete the provider participation and enrollment requirements contained within Section 140.000 of this manual</w:t>
      </w:r>
    </w:p>
    <w:p w14:paraId="287B9AD7" w14:textId="77777777" w:rsidR="00FD6F7A" w:rsidRPr="00C90D20" w:rsidRDefault="00C90D20" w:rsidP="00F85FB4">
      <w:pPr>
        <w:pStyle w:val="ctext"/>
      </w:pPr>
      <w:r>
        <w:t xml:space="preserve">ADDT providers may furnish and claim reimbursement for covered ADDT services subject to all requirements and restrictions set forth and referenced in </w:t>
      </w:r>
      <w:r>
        <w:rPr>
          <w:highlight w:val="yellow"/>
        </w:rPr>
        <w:t>this</w:t>
      </w:r>
      <w:r>
        <w:t xml:space="preserve">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D6F7A" w:rsidRPr="00C90D20" w14:paraId="246C594E" w14:textId="77777777" w:rsidTr="007D6051">
        <w:trPr>
          <w:cantSplit/>
        </w:trPr>
        <w:tc>
          <w:tcPr>
            <w:tcW w:w="8122" w:type="dxa"/>
            <w:tcBorders>
              <w:top w:val="single" w:sz="2" w:space="0" w:color="FFFFFF"/>
              <w:left w:val="single" w:sz="2" w:space="0" w:color="FFFFFF"/>
              <w:bottom w:val="single" w:sz="2" w:space="0" w:color="FFFFFF"/>
              <w:right w:val="single" w:sz="6" w:space="0" w:color="FFFFFF"/>
            </w:tcBorders>
          </w:tcPr>
          <w:p w14:paraId="28EFE214" w14:textId="77777777" w:rsidR="00FD6F7A" w:rsidRPr="00C90D20" w:rsidRDefault="00FD6F7A" w:rsidP="007D6051">
            <w:pPr>
              <w:pStyle w:val="chead2"/>
            </w:pPr>
            <w:bookmarkStart w:id="10" w:name="_Toc474231150"/>
            <w:bookmarkStart w:id="11" w:name="_Toc199342350"/>
            <w:r w:rsidRPr="00C90D20">
              <w:t>201.100</w:t>
            </w:r>
            <w:r w:rsidRPr="00C90D20">
              <w:tab/>
            </w:r>
            <w:r w:rsidR="00F85FB4" w:rsidRPr="00C90D20">
              <w:t>ADDT Providers in Arkansas and Bordering States</w:t>
            </w:r>
            <w:bookmarkEnd w:id="10"/>
            <w:bookmarkEnd w:id="11"/>
          </w:p>
        </w:tc>
        <w:tc>
          <w:tcPr>
            <w:tcW w:w="1238" w:type="dxa"/>
            <w:tcBorders>
              <w:top w:val="single" w:sz="2" w:space="0" w:color="FFFFFF"/>
              <w:left w:val="single" w:sz="6" w:space="0" w:color="FFFFFF"/>
              <w:bottom w:val="single" w:sz="2" w:space="0" w:color="FFFFFF"/>
              <w:right w:val="single" w:sz="2" w:space="0" w:color="FFFFFF"/>
            </w:tcBorders>
          </w:tcPr>
          <w:p w14:paraId="15C0E70B" w14:textId="77777777" w:rsidR="00FD6F7A" w:rsidRPr="00C90D20" w:rsidRDefault="00C90D20" w:rsidP="007D6051">
            <w:pPr>
              <w:pStyle w:val="cDate2"/>
            </w:pPr>
            <w:r>
              <w:t>8-1-22</w:t>
            </w:r>
          </w:p>
        </w:tc>
      </w:tr>
    </w:tbl>
    <w:p w14:paraId="6BAAC3AD" w14:textId="77777777" w:rsidR="00FD6F7A" w:rsidRPr="00C90D20" w:rsidRDefault="00C90D20" w:rsidP="00F85FB4">
      <w:pPr>
        <w:pStyle w:val="ctext"/>
      </w:pPr>
      <w:r>
        <w:rPr>
          <w:noProof/>
        </w:rPr>
        <w:lastRenderedPageBreak/>
        <w:t>ADDT providers in Arkansas and within fifty (50) miles of the state line in the six (6) bordering states (Louisiana, Mississippi, Missouri, Oklahoma, Tennessee and Texas) may be enrolled as ADDT providers if they meet all Arkansas Medicaid participation requirements.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D6F7A" w:rsidRPr="00C90D20" w14:paraId="4291A4EF" w14:textId="77777777" w:rsidTr="007D6051">
        <w:trPr>
          <w:cantSplit/>
        </w:trPr>
        <w:tc>
          <w:tcPr>
            <w:tcW w:w="8122" w:type="dxa"/>
            <w:tcBorders>
              <w:top w:val="single" w:sz="2" w:space="0" w:color="FFFFFF"/>
              <w:left w:val="single" w:sz="2" w:space="0" w:color="FFFFFF"/>
              <w:bottom w:val="single" w:sz="2" w:space="0" w:color="FFFFFF"/>
              <w:right w:val="single" w:sz="6" w:space="0" w:color="FFFFFF"/>
            </w:tcBorders>
          </w:tcPr>
          <w:p w14:paraId="1121A27C" w14:textId="77777777" w:rsidR="00FD6F7A" w:rsidRPr="00C90D20" w:rsidRDefault="00FD6F7A" w:rsidP="007D6051">
            <w:pPr>
              <w:pStyle w:val="chead2"/>
            </w:pPr>
            <w:bookmarkStart w:id="12" w:name="_Toc474231152"/>
            <w:bookmarkStart w:id="13" w:name="_Toc199342351"/>
            <w:r w:rsidRPr="00C90D20">
              <w:t>202.000</w:t>
            </w:r>
            <w:r w:rsidRPr="00C90D20">
              <w:tab/>
              <w:t>Documentation Requirements</w:t>
            </w:r>
            <w:bookmarkEnd w:id="12"/>
            <w:bookmarkEnd w:id="13"/>
          </w:p>
        </w:tc>
        <w:tc>
          <w:tcPr>
            <w:tcW w:w="1238" w:type="dxa"/>
            <w:tcBorders>
              <w:top w:val="single" w:sz="2" w:space="0" w:color="FFFFFF"/>
              <w:left w:val="single" w:sz="6" w:space="0" w:color="FFFFFF"/>
              <w:bottom w:val="single" w:sz="2" w:space="0" w:color="FFFFFF"/>
              <w:right w:val="single" w:sz="2" w:space="0" w:color="FFFFFF"/>
            </w:tcBorders>
          </w:tcPr>
          <w:p w14:paraId="52633268" w14:textId="77777777" w:rsidR="00FD6F7A" w:rsidRPr="00C90D20" w:rsidRDefault="00FD6F7A" w:rsidP="007D6051">
            <w:pPr>
              <w:pStyle w:val="cDate2"/>
            </w:pPr>
          </w:p>
        </w:tc>
      </w:tr>
      <w:tr w:rsidR="00FD6F7A" w:rsidRPr="00C90D20" w14:paraId="6719C252" w14:textId="77777777" w:rsidTr="007D6051">
        <w:trPr>
          <w:cantSplit/>
        </w:trPr>
        <w:tc>
          <w:tcPr>
            <w:tcW w:w="8122" w:type="dxa"/>
            <w:tcBorders>
              <w:top w:val="single" w:sz="2" w:space="0" w:color="FFFFFF"/>
              <w:left w:val="single" w:sz="2" w:space="0" w:color="FFFFFF"/>
              <w:bottom w:val="single" w:sz="2" w:space="0" w:color="FFFFFF"/>
              <w:right w:val="single" w:sz="6" w:space="0" w:color="FFFFFF"/>
            </w:tcBorders>
          </w:tcPr>
          <w:p w14:paraId="687146E7" w14:textId="77777777" w:rsidR="00FD6F7A" w:rsidRPr="00C90D20" w:rsidRDefault="00FD6F7A" w:rsidP="007D6051">
            <w:pPr>
              <w:pStyle w:val="chead2"/>
              <w:ind w:left="0" w:firstLine="0"/>
            </w:pPr>
            <w:bookmarkStart w:id="14" w:name="_Toc148238455"/>
            <w:bookmarkStart w:id="15" w:name="_Toc474231153"/>
            <w:bookmarkStart w:id="16" w:name="_Toc148238456"/>
            <w:bookmarkStart w:id="17" w:name="_Toc199342352"/>
            <w:r w:rsidRPr="00C90D20">
              <w:t>202.100</w:t>
            </w:r>
            <w:r w:rsidRPr="00C90D20">
              <w:tab/>
            </w:r>
            <w:r w:rsidR="00F85FB4" w:rsidRPr="00C90D20">
              <w:t>Documentation Requirements for All Medicaid Providers</w:t>
            </w:r>
            <w:bookmarkEnd w:id="14"/>
            <w:bookmarkEnd w:id="15"/>
            <w:bookmarkEnd w:id="17"/>
          </w:p>
        </w:tc>
        <w:tc>
          <w:tcPr>
            <w:tcW w:w="1238" w:type="dxa"/>
            <w:tcBorders>
              <w:top w:val="single" w:sz="2" w:space="0" w:color="FFFFFF"/>
              <w:left w:val="single" w:sz="6" w:space="0" w:color="FFFFFF"/>
              <w:bottom w:val="single" w:sz="2" w:space="0" w:color="FFFFFF"/>
              <w:right w:val="single" w:sz="2" w:space="0" w:color="FFFFFF"/>
            </w:tcBorders>
          </w:tcPr>
          <w:p w14:paraId="5CBA0334" w14:textId="77777777" w:rsidR="00FD6F7A" w:rsidRPr="00C90D20" w:rsidRDefault="00C90D20" w:rsidP="007D6051">
            <w:pPr>
              <w:pStyle w:val="cDate2"/>
            </w:pPr>
            <w:r>
              <w:t>8-1-22</w:t>
            </w:r>
          </w:p>
        </w:tc>
      </w:tr>
    </w:tbl>
    <w:p w14:paraId="6240BB39" w14:textId="77777777" w:rsidR="00FD6F7A" w:rsidRPr="00C90D20" w:rsidRDefault="00C90D20" w:rsidP="00F85FB4">
      <w:pPr>
        <w:pStyle w:val="ctext"/>
      </w:pPr>
      <w:r>
        <w:t>See Section 14</w:t>
      </w:r>
      <w:r>
        <w:rPr>
          <w:highlight w:val="yellow"/>
        </w:rPr>
        <w:t>0</w:t>
      </w:r>
      <w:r>
        <w:t xml:space="preserve">.000 of </w:t>
      </w:r>
      <w:r>
        <w:rPr>
          <w:highlight w:val="yellow"/>
        </w:rPr>
        <w:t>this</w:t>
      </w:r>
      <w:r>
        <w:t xml:space="preserve"> manual for the documentation that is required for all Arkansas Medicaid providers.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D6F7A" w:rsidRPr="00C90D20" w14:paraId="4B08D7D6" w14:textId="77777777" w:rsidTr="007D6051">
        <w:trPr>
          <w:cantSplit/>
        </w:trPr>
        <w:tc>
          <w:tcPr>
            <w:tcW w:w="8122" w:type="dxa"/>
            <w:tcBorders>
              <w:top w:val="single" w:sz="2" w:space="0" w:color="FFFFFF"/>
              <w:left w:val="single" w:sz="2" w:space="0" w:color="FFFFFF"/>
              <w:bottom w:val="single" w:sz="2" w:space="0" w:color="FFFFFF"/>
              <w:right w:val="single" w:sz="6" w:space="0" w:color="FFFFFF"/>
            </w:tcBorders>
          </w:tcPr>
          <w:p w14:paraId="685B6813" w14:textId="77777777" w:rsidR="00FD6F7A" w:rsidRPr="00C90D20" w:rsidRDefault="00FD6F7A" w:rsidP="007D6051">
            <w:pPr>
              <w:pStyle w:val="chead2"/>
            </w:pPr>
            <w:bookmarkStart w:id="18" w:name="_Toc474231154"/>
            <w:bookmarkStart w:id="19" w:name="_Toc199342353"/>
            <w:r w:rsidRPr="00C90D20">
              <w:t>202.200</w:t>
            </w:r>
            <w:r w:rsidRPr="00C90D20">
              <w:tab/>
            </w:r>
            <w:r w:rsidR="00F85FB4" w:rsidRPr="00C90D20">
              <w:t>ADDT Documentation Requirements</w:t>
            </w:r>
            <w:bookmarkEnd w:id="16"/>
            <w:bookmarkEnd w:id="18"/>
            <w:bookmarkEnd w:id="19"/>
          </w:p>
        </w:tc>
        <w:tc>
          <w:tcPr>
            <w:tcW w:w="1238" w:type="dxa"/>
            <w:tcBorders>
              <w:top w:val="single" w:sz="2" w:space="0" w:color="FFFFFF"/>
              <w:left w:val="single" w:sz="6" w:space="0" w:color="FFFFFF"/>
              <w:bottom w:val="single" w:sz="2" w:space="0" w:color="FFFFFF"/>
              <w:right w:val="single" w:sz="2" w:space="0" w:color="FFFFFF"/>
            </w:tcBorders>
          </w:tcPr>
          <w:p w14:paraId="15B49019" w14:textId="77777777" w:rsidR="00FD6F7A" w:rsidRPr="00C90D20" w:rsidRDefault="00C90D20" w:rsidP="007D6051">
            <w:pPr>
              <w:pStyle w:val="cDate2"/>
            </w:pPr>
            <w:r>
              <w:t>8-1-22</w:t>
            </w:r>
          </w:p>
        </w:tc>
      </w:tr>
    </w:tbl>
    <w:p w14:paraId="2D4D14E5" w14:textId="77777777" w:rsidR="00C90D20" w:rsidRDefault="00C90D20" w:rsidP="00C90D20">
      <w:pPr>
        <w:pStyle w:val="CLETTERED"/>
      </w:pPr>
      <w:r>
        <w:t>A.</w:t>
      </w:r>
      <w:r>
        <w:tab/>
        <w:t xml:space="preserve">ADDT providers must maintain </w:t>
      </w:r>
      <w:r>
        <w:rPr>
          <w:highlight w:val="yellow"/>
        </w:rPr>
        <w:t>in each client’s service record</w:t>
      </w:r>
      <w:r>
        <w:t xml:space="preserve"> sufficient, contemporaneous written documentation demonstrating the medical necessity of all </w:t>
      </w:r>
      <w:r>
        <w:rPr>
          <w:highlight w:val="yellow"/>
        </w:rPr>
        <w:t>covered</w:t>
      </w:r>
      <w:r>
        <w:t xml:space="preserve"> ADDT services</w:t>
      </w:r>
      <w:r>
        <w:rPr>
          <w:highlight w:val="yellow"/>
        </w:rPr>
        <w:t xml:space="preserve"> included on a client’s individual treatment plan (ITP)</w:t>
      </w:r>
      <w:r>
        <w:t>.</w:t>
      </w:r>
    </w:p>
    <w:p w14:paraId="01275B1B" w14:textId="77777777" w:rsidR="00C90D20" w:rsidRDefault="00C90D20" w:rsidP="00C90D20">
      <w:pPr>
        <w:pStyle w:val="CLETTERED"/>
        <w:rPr>
          <w:highlight w:val="yellow"/>
        </w:rPr>
      </w:pPr>
      <w:r>
        <w:rPr>
          <w:highlight w:val="yellow"/>
        </w:rPr>
        <w:t>B.</w:t>
      </w:r>
      <w:r>
        <w:rPr>
          <w:highlight w:val="yellow"/>
        </w:rPr>
        <w:tab/>
        <w:t xml:space="preserve">ADDT providers must maintain in each client’s service record the following documentation for all day habilitative and nursing services performed pursuant to Sections 214.120 and 214.220 of this </w:t>
      </w:r>
      <w:proofErr w:type="gramStart"/>
      <w:r>
        <w:rPr>
          <w:highlight w:val="yellow"/>
        </w:rPr>
        <w:t>manual</w:t>
      </w:r>
      <w:proofErr w:type="gramEnd"/>
      <w:r>
        <w:rPr>
          <w:highlight w:val="yellow"/>
        </w:rPr>
        <w:t>:</w:t>
      </w:r>
    </w:p>
    <w:p w14:paraId="5DDEB9FA" w14:textId="77777777" w:rsidR="00C90D20" w:rsidRDefault="00C90D20" w:rsidP="00C90D20">
      <w:pPr>
        <w:pStyle w:val="cnumbered"/>
      </w:pPr>
      <w:r>
        <w:t>1.</w:t>
      </w:r>
      <w:r>
        <w:tab/>
        <w:t xml:space="preserve">The specific services furnished each </w:t>
      </w:r>
      <w:proofErr w:type="gramStart"/>
      <w:r>
        <w:t>day;</w:t>
      </w:r>
      <w:proofErr w:type="gramEnd"/>
    </w:p>
    <w:p w14:paraId="44919B3D" w14:textId="77777777" w:rsidR="00C90D20" w:rsidRDefault="00C90D20" w:rsidP="00C90D20">
      <w:pPr>
        <w:pStyle w:val="cnumbered"/>
      </w:pPr>
      <w:r>
        <w:t>2.</w:t>
      </w:r>
      <w:r>
        <w:tab/>
        <w:t xml:space="preserve">The date and beginning and ending time for each of the services performed each </w:t>
      </w:r>
      <w:proofErr w:type="gramStart"/>
      <w:r>
        <w:t>day;</w:t>
      </w:r>
      <w:proofErr w:type="gramEnd"/>
    </w:p>
    <w:p w14:paraId="20FD5C49" w14:textId="77777777" w:rsidR="00C90D20" w:rsidRDefault="00C90D20" w:rsidP="00C90D20">
      <w:pPr>
        <w:pStyle w:val="cnumbered"/>
      </w:pPr>
      <w:r>
        <w:t>3.</w:t>
      </w:r>
      <w:r>
        <w:tab/>
        <w:t xml:space="preserve">Name(s) and credential(s) of the person(s) providing each service each </w:t>
      </w:r>
      <w:proofErr w:type="gramStart"/>
      <w:r>
        <w:t>day;</w:t>
      </w:r>
      <w:proofErr w:type="gramEnd"/>
    </w:p>
    <w:p w14:paraId="32CA304A" w14:textId="77777777" w:rsidR="00C90D20" w:rsidRDefault="00C90D20" w:rsidP="00C90D20">
      <w:pPr>
        <w:pStyle w:val="cnumbered"/>
      </w:pPr>
      <w:r>
        <w:t>4.</w:t>
      </w:r>
      <w:r>
        <w:tab/>
      </w:r>
      <w:r>
        <w:rPr>
          <w:highlight w:val="yellow"/>
        </w:rPr>
        <w:t>Which client ITP goal(s) and objective(s) the day’s services are intended to address</w:t>
      </w:r>
      <w:r>
        <w:t>; and</w:t>
      </w:r>
    </w:p>
    <w:p w14:paraId="11AB6392" w14:textId="77777777" w:rsidR="00C90D20" w:rsidRDefault="00C90D20" w:rsidP="00C90D20">
      <w:pPr>
        <w:pStyle w:val="cnumbered"/>
        <w:rPr>
          <w:highlight w:val="yellow"/>
        </w:rPr>
      </w:pPr>
      <w:r>
        <w:t>5.</w:t>
      </w:r>
      <w:r>
        <w:tab/>
        <w:t xml:space="preserve">Weekly or more frequent progress notes signed or initialed by the person(s) providing the service(s) describing </w:t>
      </w:r>
      <w:r>
        <w:rPr>
          <w:highlight w:val="yellow"/>
        </w:rPr>
        <w:t>the</w:t>
      </w:r>
      <w:r>
        <w:t xml:space="preserve"> </w:t>
      </w:r>
      <w:r>
        <w:rPr>
          <w:highlight w:val="yellow"/>
        </w:rPr>
        <w:t xml:space="preserve">client’s </w:t>
      </w:r>
      <w:r>
        <w:t xml:space="preserve">status with respect to </w:t>
      </w:r>
      <w:r>
        <w:rPr>
          <w:highlight w:val="yellow"/>
        </w:rPr>
        <w:t xml:space="preserve">ITP </w:t>
      </w:r>
      <w:r>
        <w:t>goals and objectives</w:t>
      </w:r>
      <w:r>
        <w:rPr>
          <w:highlight w:val="yellow"/>
        </w:rPr>
        <w:t xml:space="preserve"> for that service</w:t>
      </w:r>
      <w:r>
        <w:t>.</w:t>
      </w:r>
    </w:p>
    <w:p w14:paraId="7717A5F6" w14:textId="77777777" w:rsidR="00C90D20" w:rsidRDefault="00C90D20" w:rsidP="00C90D20">
      <w:pPr>
        <w:pStyle w:val="CLETTERED"/>
        <w:rPr>
          <w:highlight w:val="yellow"/>
        </w:rPr>
      </w:pPr>
      <w:bookmarkStart w:id="20" w:name="_Hlk97732893"/>
      <w:r>
        <w:rPr>
          <w:highlight w:val="yellow"/>
        </w:rPr>
        <w:t>C.</w:t>
      </w:r>
      <w:r>
        <w:rPr>
          <w:highlight w:val="yellow"/>
        </w:rPr>
        <w:tab/>
        <w:t xml:space="preserve">ADDT providers must maintain in the client’s service record the documentation specified in Section 204.200 of Section II of the Occupational Therapy, Physical Therapy, and Speech-Language Therapy Pathology Services Medicaid manual for all occupational therapy, physical therapy, and speech-language pathology services performed pursuant to Section 214.210 of this manual. </w:t>
      </w:r>
    </w:p>
    <w:bookmarkEnd w:id="20"/>
    <w:p w14:paraId="6146CAF9" w14:textId="77777777" w:rsidR="00C90D20" w:rsidRDefault="00C90D20" w:rsidP="00C90D20">
      <w:pPr>
        <w:pStyle w:val="CLETTERED"/>
        <w:rPr>
          <w:highlight w:val="yellow"/>
        </w:rPr>
      </w:pPr>
      <w:r>
        <w:rPr>
          <w:highlight w:val="yellow"/>
        </w:rPr>
        <w:t>D.</w:t>
      </w:r>
      <w:r>
        <w:rPr>
          <w:highlight w:val="yellow"/>
        </w:rPr>
        <w:tab/>
        <w:t>ADDT providers must maintain the following documentation related to ADDT transportation services performed pursuant to Section 214.230 of this manual:</w:t>
      </w:r>
    </w:p>
    <w:p w14:paraId="73E58EFE" w14:textId="77777777" w:rsidR="00C90D20" w:rsidRDefault="00C90D20" w:rsidP="00C90D20">
      <w:pPr>
        <w:pStyle w:val="cnumbered"/>
        <w:rPr>
          <w:highlight w:val="yellow"/>
        </w:rPr>
      </w:pPr>
      <w:r>
        <w:rPr>
          <w:highlight w:val="yellow"/>
        </w:rPr>
        <w:t>1.</w:t>
      </w:r>
      <w:r>
        <w:rPr>
          <w:highlight w:val="yellow"/>
        </w:rPr>
        <w:tab/>
        <w:t>A separate transportation log must be maintained for each trip that a vehicle is used by an ADDT to transport clients that lists:</w:t>
      </w:r>
    </w:p>
    <w:p w14:paraId="48AB8CA0" w14:textId="77777777" w:rsidR="00C90D20" w:rsidRDefault="00C90D20" w:rsidP="00C90D20">
      <w:pPr>
        <w:pStyle w:val="cletteredindent"/>
        <w:rPr>
          <w:highlight w:val="yellow"/>
        </w:rPr>
      </w:pPr>
      <w:r>
        <w:rPr>
          <w:highlight w:val="yellow"/>
        </w:rPr>
        <w:t>a.</w:t>
      </w:r>
      <w:r>
        <w:rPr>
          <w:highlight w:val="yellow"/>
        </w:rPr>
        <w:tab/>
        <w:t>Each transported client’s:</w:t>
      </w:r>
    </w:p>
    <w:p w14:paraId="783EB4C2" w14:textId="77777777" w:rsidR="00C90D20" w:rsidRDefault="00C90D20" w:rsidP="00C90D20">
      <w:pPr>
        <w:pStyle w:val="cletteredindent"/>
        <w:ind w:left="2520"/>
        <w:rPr>
          <w:highlight w:val="yellow"/>
        </w:rPr>
      </w:pPr>
      <w:bookmarkStart w:id="21" w:name="_Hlk95290721"/>
      <w:proofErr w:type="spellStart"/>
      <w:r>
        <w:rPr>
          <w:highlight w:val="yellow"/>
        </w:rPr>
        <w:t>i</w:t>
      </w:r>
      <w:proofErr w:type="spellEnd"/>
      <w:r>
        <w:rPr>
          <w:highlight w:val="yellow"/>
        </w:rPr>
        <w:t>.</w:t>
      </w:r>
      <w:r>
        <w:rPr>
          <w:highlight w:val="yellow"/>
        </w:rPr>
        <w:tab/>
      </w:r>
      <w:proofErr w:type="gramStart"/>
      <w:r>
        <w:rPr>
          <w:highlight w:val="yellow"/>
        </w:rPr>
        <w:t>Name;</w:t>
      </w:r>
      <w:proofErr w:type="gramEnd"/>
    </w:p>
    <w:p w14:paraId="18A96021" w14:textId="77777777" w:rsidR="00C90D20" w:rsidRDefault="00C90D20" w:rsidP="00C90D20">
      <w:pPr>
        <w:pStyle w:val="cletteredindent"/>
        <w:ind w:left="2520"/>
        <w:rPr>
          <w:highlight w:val="yellow"/>
        </w:rPr>
      </w:pPr>
      <w:r>
        <w:rPr>
          <w:highlight w:val="yellow"/>
        </w:rPr>
        <w:t>ii.</w:t>
      </w:r>
      <w:r>
        <w:rPr>
          <w:highlight w:val="yellow"/>
        </w:rPr>
        <w:tab/>
      </w:r>
      <w:proofErr w:type="gramStart"/>
      <w:r>
        <w:rPr>
          <w:highlight w:val="yellow"/>
        </w:rPr>
        <w:t>Age;</w:t>
      </w:r>
      <w:proofErr w:type="gramEnd"/>
    </w:p>
    <w:p w14:paraId="34D989F6" w14:textId="77777777" w:rsidR="00C90D20" w:rsidRDefault="00C90D20" w:rsidP="00C90D20">
      <w:pPr>
        <w:pStyle w:val="cletteredindent"/>
        <w:ind w:left="2520"/>
        <w:rPr>
          <w:highlight w:val="yellow"/>
        </w:rPr>
      </w:pPr>
      <w:r>
        <w:rPr>
          <w:highlight w:val="yellow"/>
        </w:rPr>
        <w:t>iii.</w:t>
      </w:r>
      <w:r>
        <w:rPr>
          <w:highlight w:val="yellow"/>
        </w:rPr>
        <w:tab/>
        <w:t xml:space="preserve">Date of </w:t>
      </w:r>
      <w:proofErr w:type="gramStart"/>
      <w:r>
        <w:rPr>
          <w:highlight w:val="yellow"/>
        </w:rPr>
        <w:t>birth;</w:t>
      </w:r>
      <w:proofErr w:type="gramEnd"/>
    </w:p>
    <w:p w14:paraId="188E7025" w14:textId="77777777" w:rsidR="00C90D20" w:rsidRDefault="00C90D20" w:rsidP="00C90D20">
      <w:pPr>
        <w:pStyle w:val="cletteredindent"/>
        <w:ind w:left="2520"/>
        <w:rPr>
          <w:highlight w:val="yellow"/>
        </w:rPr>
      </w:pPr>
      <w:r>
        <w:rPr>
          <w:highlight w:val="yellow"/>
        </w:rPr>
        <w:t>iv.</w:t>
      </w:r>
      <w:r>
        <w:rPr>
          <w:highlight w:val="yellow"/>
        </w:rPr>
        <w:tab/>
        <w:t xml:space="preserve">Medicaid ID </w:t>
      </w:r>
      <w:proofErr w:type="gramStart"/>
      <w:r>
        <w:rPr>
          <w:highlight w:val="yellow"/>
        </w:rPr>
        <w:t>number;</w:t>
      </w:r>
      <w:proofErr w:type="gramEnd"/>
    </w:p>
    <w:p w14:paraId="2B7103C0" w14:textId="77777777" w:rsidR="00C90D20" w:rsidRDefault="00C90D20" w:rsidP="00C90D20">
      <w:pPr>
        <w:pStyle w:val="cletteredindent"/>
        <w:ind w:left="2520"/>
        <w:rPr>
          <w:highlight w:val="yellow"/>
        </w:rPr>
      </w:pPr>
      <w:r>
        <w:rPr>
          <w:highlight w:val="yellow"/>
        </w:rPr>
        <w:t>v.</w:t>
      </w:r>
      <w:r>
        <w:rPr>
          <w:highlight w:val="yellow"/>
        </w:rPr>
        <w:tab/>
        <w:t>Exact address of pick up and drop off; and</w:t>
      </w:r>
    </w:p>
    <w:p w14:paraId="29A99B18" w14:textId="77777777" w:rsidR="00C90D20" w:rsidRDefault="00C90D20" w:rsidP="00C90D20">
      <w:pPr>
        <w:pStyle w:val="cletteredindent"/>
        <w:ind w:left="2520"/>
        <w:rPr>
          <w:highlight w:val="yellow"/>
        </w:rPr>
      </w:pPr>
      <w:r>
        <w:rPr>
          <w:highlight w:val="yellow"/>
        </w:rPr>
        <w:t>vi.</w:t>
      </w:r>
      <w:r>
        <w:rPr>
          <w:highlight w:val="yellow"/>
        </w:rPr>
        <w:tab/>
        <w:t>Exact time of pick up and drop off.</w:t>
      </w:r>
    </w:p>
    <w:bookmarkEnd w:id="21"/>
    <w:p w14:paraId="6AAF9FFD" w14:textId="77777777" w:rsidR="00C90D20" w:rsidRDefault="00C90D20" w:rsidP="00C90D20">
      <w:pPr>
        <w:pStyle w:val="cletteredindent"/>
        <w:rPr>
          <w:highlight w:val="yellow"/>
        </w:rPr>
      </w:pPr>
      <w:r>
        <w:rPr>
          <w:highlight w:val="yellow"/>
        </w:rPr>
        <w:t>b.</w:t>
      </w:r>
      <w:r>
        <w:rPr>
          <w:highlight w:val="yellow"/>
        </w:rPr>
        <w:tab/>
        <w:t xml:space="preserve">The driver of the </w:t>
      </w:r>
      <w:proofErr w:type="gramStart"/>
      <w:r>
        <w:rPr>
          <w:highlight w:val="yellow"/>
        </w:rPr>
        <w:t>vehicle;</w:t>
      </w:r>
      <w:proofErr w:type="gramEnd"/>
    </w:p>
    <w:p w14:paraId="6E99968E" w14:textId="77777777" w:rsidR="00C90D20" w:rsidRDefault="00C90D20" w:rsidP="00C90D20">
      <w:pPr>
        <w:pStyle w:val="cletteredindent"/>
        <w:rPr>
          <w:highlight w:val="yellow"/>
        </w:rPr>
      </w:pPr>
      <w:r>
        <w:rPr>
          <w:highlight w:val="yellow"/>
        </w:rPr>
        <w:t>c.</w:t>
      </w:r>
      <w:r>
        <w:rPr>
          <w:highlight w:val="yellow"/>
        </w:rPr>
        <w:tab/>
        <w:t>Each attendant or any other persons transported; and</w:t>
      </w:r>
    </w:p>
    <w:p w14:paraId="1531CA23" w14:textId="77777777" w:rsidR="00C90D20" w:rsidRDefault="00C90D20" w:rsidP="00C90D20">
      <w:pPr>
        <w:pStyle w:val="cletteredindent"/>
        <w:rPr>
          <w:highlight w:val="yellow"/>
        </w:rPr>
      </w:pPr>
      <w:r>
        <w:rPr>
          <w:highlight w:val="yellow"/>
        </w:rPr>
        <w:t>d.</w:t>
      </w:r>
      <w:r>
        <w:rPr>
          <w:highlight w:val="yellow"/>
        </w:rPr>
        <w:tab/>
      </w:r>
      <w:bookmarkStart w:id="22" w:name="_Hlk95291767"/>
      <w:bookmarkStart w:id="23" w:name="_Hlk95291838"/>
      <w:r>
        <w:rPr>
          <w:highlight w:val="yellow"/>
        </w:rPr>
        <w:t>Odometer reading for vehicle at a trip’s:</w:t>
      </w:r>
      <w:bookmarkEnd w:id="22"/>
    </w:p>
    <w:p w14:paraId="322460A1" w14:textId="77777777" w:rsidR="00C90D20" w:rsidRDefault="00C90D20" w:rsidP="00C90D20">
      <w:pPr>
        <w:pStyle w:val="cletteredindent"/>
        <w:ind w:left="2520"/>
        <w:rPr>
          <w:highlight w:val="yellow"/>
        </w:rPr>
      </w:pPr>
      <w:proofErr w:type="spellStart"/>
      <w:r>
        <w:rPr>
          <w:highlight w:val="yellow"/>
        </w:rPr>
        <w:t>i</w:t>
      </w:r>
      <w:proofErr w:type="spellEnd"/>
      <w:r>
        <w:rPr>
          <w:highlight w:val="yellow"/>
        </w:rPr>
        <w:t>.</w:t>
      </w:r>
      <w:r>
        <w:rPr>
          <w:highlight w:val="yellow"/>
        </w:rPr>
        <w:tab/>
        <w:t>Initial pick up; and</w:t>
      </w:r>
    </w:p>
    <w:p w14:paraId="389BD801" w14:textId="77777777" w:rsidR="00C90D20" w:rsidRDefault="00C90D20" w:rsidP="00C90D20">
      <w:pPr>
        <w:pStyle w:val="cletteredindent"/>
        <w:ind w:left="2520"/>
        <w:rPr>
          <w:highlight w:val="yellow"/>
        </w:rPr>
      </w:pPr>
      <w:r>
        <w:rPr>
          <w:highlight w:val="yellow"/>
        </w:rPr>
        <w:lastRenderedPageBreak/>
        <w:t>ii.</w:t>
      </w:r>
      <w:r>
        <w:rPr>
          <w:highlight w:val="yellow"/>
        </w:rPr>
        <w:tab/>
        <w:t>Final drop off.</w:t>
      </w:r>
    </w:p>
    <w:bookmarkEnd w:id="23"/>
    <w:p w14:paraId="4DBA7E32" w14:textId="77777777" w:rsidR="00C90D20" w:rsidRDefault="00C90D20" w:rsidP="00C90D20">
      <w:pPr>
        <w:pStyle w:val="cnumbered"/>
        <w:rPr>
          <w:highlight w:val="yellow"/>
        </w:rPr>
      </w:pPr>
      <w:r>
        <w:rPr>
          <w:highlight w:val="yellow"/>
        </w:rPr>
        <w:t>2.</w:t>
      </w:r>
      <w:r>
        <w:rPr>
          <w:highlight w:val="yellow"/>
        </w:rPr>
        <w:tab/>
        <w:t>The driver of each vehicle must sign and date each transportation log verifying that each client that received transportation services from the ADDT was safely transported to and from:</w:t>
      </w:r>
    </w:p>
    <w:p w14:paraId="06882A38" w14:textId="77777777" w:rsidR="00C90D20" w:rsidRDefault="00C90D20" w:rsidP="00C90D20">
      <w:pPr>
        <w:pStyle w:val="cletteredindent"/>
        <w:rPr>
          <w:highlight w:val="yellow"/>
        </w:rPr>
      </w:pPr>
      <w:r>
        <w:rPr>
          <w:highlight w:val="yellow"/>
        </w:rPr>
        <w:t>a.</w:t>
      </w:r>
      <w:r>
        <w:rPr>
          <w:highlight w:val="yellow"/>
        </w:rPr>
        <w:tab/>
        <w:t>The client’s home (or other scheduled pick-up or drop-off location); or</w:t>
      </w:r>
    </w:p>
    <w:p w14:paraId="30C868F5" w14:textId="77777777" w:rsidR="00C90D20" w:rsidRDefault="00C90D20" w:rsidP="00C90D20">
      <w:pPr>
        <w:pStyle w:val="cletteredindent"/>
        <w:rPr>
          <w:highlight w:val="yellow"/>
        </w:rPr>
      </w:pPr>
      <w:r>
        <w:rPr>
          <w:highlight w:val="yellow"/>
        </w:rPr>
        <w:t>b.</w:t>
      </w:r>
      <w:r>
        <w:rPr>
          <w:highlight w:val="yellow"/>
        </w:rPr>
        <w:tab/>
        <w:t>The ADDT facility; or</w:t>
      </w:r>
    </w:p>
    <w:p w14:paraId="136F44D7" w14:textId="77777777" w:rsidR="00C90D20" w:rsidRDefault="00C90D20" w:rsidP="00C90D20">
      <w:pPr>
        <w:pStyle w:val="cletteredindent"/>
        <w:rPr>
          <w:highlight w:val="yellow"/>
        </w:rPr>
      </w:pPr>
      <w:r>
        <w:rPr>
          <w:highlight w:val="yellow"/>
        </w:rPr>
        <w:t>c.</w:t>
      </w:r>
      <w:r>
        <w:rPr>
          <w:highlight w:val="yellow"/>
        </w:rPr>
        <w:tab/>
        <w:t>Other appropriate location.</w:t>
      </w:r>
    </w:p>
    <w:p w14:paraId="2EB0AAAC" w14:textId="77777777" w:rsidR="00FD6F7A" w:rsidRPr="00C90D20" w:rsidRDefault="00C90D20" w:rsidP="00C90D20">
      <w:pPr>
        <w:pStyle w:val="cnumbered"/>
      </w:pPr>
      <w:r>
        <w:rPr>
          <w:highlight w:val="yellow"/>
        </w:rPr>
        <w:t>3.</w:t>
      </w:r>
      <w:r>
        <w:rPr>
          <w:highlight w:val="yellow"/>
        </w:rPr>
        <w:tab/>
        <w:t>An ADDT must maintain all transportation logs for five (5) years from the date of transportation.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D6F7A" w:rsidRPr="00C90D20" w14:paraId="283A1F86" w14:textId="77777777" w:rsidTr="007D6051">
        <w:trPr>
          <w:cantSplit/>
        </w:trPr>
        <w:tc>
          <w:tcPr>
            <w:tcW w:w="8122" w:type="dxa"/>
            <w:tcBorders>
              <w:top w:val="single" w:sz="2" w:space="0" w:color="FFFFFF"/>
              <w:left w:val="single" w:sz="2" w:space="0" w:color="FFFFFF"/>
              <w:bottom w:val="single" w:sz="2" w:space="0" w:color="FFFFFF"/>
              <w:right w:val="single" w:sz="6" w:space="0" w:color="FFFFFF"/>
            </w:tcBorders>
          </w:tcPr>
          <w:p w14:paraId="4A9055A9" w14:textId="77777777" w:rsidR="00FD6F7A" w:rsidRPr="00C90D20" w:rsidRDefault="00FD6F7A" w:rsidP="007D6051">
            <w:pPr>
              <w:pStyle w:val="chead2"/>
            </w:pPr>
            <w:bookmarkStart w:id="24" w:name="_Toc474231155"/>
            <w:bookmarkStart w:id="25" w:name="_Toc199342354"/>
            <w:r w:rsidRPr="00C90D20">
              <w:t>202.300</w:t>
            </w:r>
            <w:r w:rsidRPr="00C90D20">
              <w:tab/>
            </w:r>
            <w:r w:rsidR="00F85FB4" w:rsidRPr="00C90D20">
              <w:t>Electronic Signatures</w:t>
            </w:r>
            <w:bookmarkEnd w:id="24"/>
            <w:bookmarkEnd w:id="25"/>
          </w:p>
        </w:tc>
        <w:tc>
          <w:tcPr>
            <w:tcW w:w="1238" w:type="dxa"/>
            <w:tcBorders>
              <w:top w:val="single" w:sz="2" w:space="0" w:color="FFFFFF"/>
              <w:left w:val="single" w:sz="6" w:space="0" w:color="FFFFFF"/>
              <w:bottom w:val="single" w:sz="2" w:space="0" w:color="FFFFFF"/>
              <w:right w:val="single" w:sz="2" w:space="0" w:color="FFFFFF"/>
            </w:tcBorders>
          </w:tcPr>
          <w:p w14:paraId="1E3311AF" w14:textId="77777777" w:rsidR="00FD6F7A" w:rsidRPr="00C90D20" w:rsidRDefault="00765568" w:rsidP="007D6051">
            <w:pPr>
              <w:pStyle w:val="cDate2"/>
            </w:pPr>
            <w:r>
              <w:t>8-1-22</w:t>
            </w:r>
          </w:p>
        </w:tc>
      </w:tr>
    </w:tbl>
    <w:p w14:paraId="58D80CF4" w14:textId="77777777" w:rsidR="00FD6F7A" w:rsidRPr="00C90D20" w:rsidRDefault="00765568" w:rsidP="00F85FB4">
      <w:pPr>
        <w:pStyle w:val="ctext"/>
      </w:pPr>
      <w:r>
        <w:t>Arkansas Medicaid will accept electronic signatures in compliance with Arkansas Code § 25-31-103 et seq.</w:t>
      </w:r>
    </w:p>
    <w:p w14:paraId="7375CC19" w14:textId="77777777" w:rsidR="00FD6F7A" w:rsidRPr="00C90D20" w:rsidRDefault="00FD6F7A" w:rsidP="00FD6F7A">
      <w:pPr>
        <w:pStyle w:val="ctablespace"/>
      </w:pPr>
    </w:p>
    <w:tbl>
      <w:tblPr>
        <w:tblW w:w="9360" w:type="dxa"/>
        <w:tblLook w:val="0000" w:firstRow="0" w:lastRow="0" w:firstColumn="0" w:lastColumn="0" w:noHBand="0" w:noVBand="0"/>
      </w:tblPr>
      <w:tblGrid>
        <w:gridCol w:w="8122"/>
        <w:gridCol w:w="1238"/>
      </w:tblGrid>
      <w:tr w:rsidR="00FD6F7A" w:rsidRPr="00C90D20" w14:paraId="6D499314" w14:textId="77777777" w:rsidTr="007D6051">
        <w:trPr>
          <w:cantSplit/>
        </w:trPr>
        <w:tc>
          <w:tcPr>
            <w:tcW w:w="8122" w:type="dxa"/>
            <w:shd w:val="clear" w:color="auto" w:fill="1D73D6"/>
          </w:tcPr>
          <w:p w14:paraId="0923C4A9" w14:textId="77777777" w:rsidR="00FD6F7A" w:rsidRPr="00C90D20" w:rsidRDefault="00FD6F7A" w:rsidP="007D6051">
            <w:pPr>
              <w:pStyle w:val="chead1"/>
            </w:pPr>
            <w:bookmarkStart w:id="26" w:name="_Toc474231156"/>
            <w:bookmarkStart w:id="27" w:name="_Toc199342355"/>
            <w:r w:rsidRPr="00C90D20">
              <w:t>210.000</w:t>
            </w:r>
            <w:r w:rsidRPr="00C90D20">
              <w:tab/>
              <w:t>PROGRAM COVERAGE</w:t>
            </w:r>
            <w:bookmarkEnd w:id="26"/>
            <w:bookmarkEnd w:id="27"/>
          </w:p>
        </w:tc>
        <w:tc>
          <w:tcPr>
            <w:tcW w:w="1238" w:type="dxa"/>
            <w:shd w:val="clear" w:color="auto" w:fill="1D73D6"/>
            <w:vAlign w:val="center"/>
          </w:tcPr>
          <w:p w14:paraId="3C3C3853" w14:textId="77777777" w:rsidR="00FD6F7A" w:rsidRPr="00C90D20" w:rsidRDefault="00FD6F7A" w:rsidP="007D6051">
            <w:pPr>
              <w:pStyle w:val="cDate1"/>
              <w:rPr>
                <w:bCs/>
              </w:rPr>
            </w:pPr>
          </w:p>
        </w:tc>
      </w:tr>
      <w:tr w:rsidR="00FD6F7A" w:rsidRPr="00C90D20" w14:paraId="5B365D14" w14:textId="77777777" w:rsidTr="007D6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3A9C58AF" w14:textId="77777777" w:rsidR="00FD6F7A" w:rsidRPr="00C90D20" w:rsidRDefault="00FD6F7A" w:rsidP="007D6051">
            <w:pPr>
              <w:pStyle w:val="chead2"/>
            </w:pPr>
            <w:bookmarkStart w:id="28" w:name="_Toc148238458"/>
            <w:bookmarkStart w:id="29" w:name="_Toc474231157"/>
            <w:bookmarkStart w:id="30" w:name="_Toc199342356"/>
            <w:r w:rsidRPr="00C90D20">
              <w:t>211.000</w:t>
            </w:r>
            <w:r w:rsidRPr="00C90D20">
              <w:tab/>
              <w:t>Introduction</w:t>
            </w:r>
            <w:bookmarkEnd w:id="28"/>
            <w:bookmarkEnd w:id="29"/>
            <w:bookmarkEnd w:id="30"/>
          </w:p>
        </w:tc>
        <w:tc>
          <w:tcPr>
            <w:tcW w:w="1238" w:type="dxa"/>
            <w:tcBorders>
              <w:top w:val="nil"/>
              <w:left w:val="single" w:sz="6" w:space="0" w:color="FFFFFF"/>
              <w:bottom w:val="single" w:sz="2" w:space="0" w:color="FFFFFF"/>
              <w:right w:val="single" w:sz="2" w:space="0" w:color="FFFFFF"/>
            </w:tcBorders>
          </w:tcPr>
          <w:p w14:paraId="1B02F324" w14:textId="77777777" w:rsidR="00FD6F7A" w:rsidRPr="00C90D20" w:rsidRDefault="00765568" w:rsidP="007D6051">
            <w:pPr>
              <w:pStyle w:val="cDate2"/>
            </w:pPr>
            <w:r>
              <w:t>8-1-22</w:t>
            </w:r>
          </w:p>
        </w:tc>
      </w:tr>
    </w:tbl>
    <w:p w14:paraId="4F9DC086" w14:textId="77777777" w:rsidR="00FD6F7A" w:rsidRPr="00C90D20" w:rsidRDefault="00765568" w:rsidP="00F85FB4">
      <w:pPr>
        <w:pStyle w:val="ctext"/>
      </w:pPr>
      <w:r>
        <w:t xml:space="preserve">Arkansas Medicaid will reimburse </w:t>
      </w:r>
      <w:r>
        <w:rPr>
          <w:highlight w:val="yellow"/>
        </w:rPr>
        <w:t xml:space="preserve">licensed and </w:t>
      </w:r>
      <w:r>
        <w:t xml:space="preserve">enrolled </w:t>
      </w:r>
      <w:r>
        <w:rPr>
          <w:highlight w:val="yellow"/>
        </w:rPr>
        <w:t xml:space="preserve">ADDT </w:t>
      </w:r>
      <w:r>
        <w:t xml:space="preserve">providers for medically necessary covered ADDT services provided to an eligible </w:t>
      </w:r>
      <w:r>
        <w:rPr>
          <w:highlight w:val="yellow"/>
        </w:rPr>
        <w:t xml:space="preserve">client </w:t>
      </w:r>
      <w:r>
        <w:t xml:space="preserve">pursuant to an </w:t>
      </w:r>
      <w:r>
        <w:rPr>
          <w:highlight w:val="yellow"/>
        </w:rPr>
        <w:t>i</w:t>
      </w:r>
      <w:r>
        <w:t xml:space="preserve">ndividual </w:t>
      </w:r>
      <w:r>
        <w:rPr>
          <w:highlight w:val="yellow"/>
        </w:rPr>
        <w:t>t</w:t>
      </w:r>
      <w:r>
        <w:t xml:space="preserve">reatment </w:t>
      </w:r>
      <w:r>
        <w:rPr>
          <w:highlight w:val="yellow"/>
        </w:rPr>
        <w:t>p</w:t>
      </w:r>
      <w:r>
        <w:t xml:space="preserve">lan </w:t>
      </w:r>
      <w:r>
        <w:rPr>
          <w:highlight w:val="yellow"/>
        </w:rPr>
        <w:t>in compliance with this</w:t>
      </w:r>
      <w:r>
        <w:t xml:space="preserve">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D6F7A" w:rsidRPr="00C90D20" w14:paraId="262EB087" w14:textId="77777777" w:rsidTr="007D6051">
        <w:trPr>
          <w:cantSplit/>
        </w:trPr>
        <w:tc>
          <w:tcPr>
            <w:tcW w:w="8122" w:type="dxa"/>
            <w:tcBorders>
              <w:top w:val="single" w:sz="2" w:space="0" w:color="FFFFFF"/>
              <w:left w:val="single" w:sz="2" w:space="0" w:color="FFFFFF"/>
              <w:bottom w:val="single" w:sz="2" w:space="0" w:color="FFFFFF"/>
              <w:right w:val="single" w:sz="6" w:space="0" w:color="FFFFFF"/>
            </w:tcBorders>
          </w:tcPr>
          <w:p w14:paraId="71EFC2F9" w14:textId="77777777" w:rsidR="00FD6F7A" w:rsidRPr="00C90D20" w:rsidRDefault="00FD6F7A" w:rsidP="007D6051">
            <w:pPr>
              <w:pStyle w:val="chead2"/>
            </w:pPr>
            <w:bookmarkStart w:id="31" w:name="_Toc148238459"/>
            <w:bookmarkStart w:id="32" w:name="_Toc474231158"/>
            <w:bookmarkStart w:id="33" w:name="_Toc199342357"/>
            <w:r w:rsidRPr="00C90D20">
              <w:t>212.000</w:t>
            </w:r>
            <w:r w:rsidRPr="00C90D20">
              <w:tab/>
            </w:r>
            <w:r w:rsidR="00F85FB4" w:rsidRPr="00C90D20">
              <w:t>Establishing Eligibility</w:t>
            </w:r>
            <w:bookmarkEnd w:id="31"/>
            <w:bookmarkEnd w:id="32"/>
            <w:bookmarkEnd w:id="33"/>
          </w:p>
        </w:tc>
        <w:tc>
          <w:tcPr>
            <w:tcW w:w="1238" w:type="dxa"/>
            <w:tcBorders>
              <w:top w:val="single" w:sz="2" w:space="0" w:color="FFFFFF"/>
              <w:left w:val="single" w:sz="6" w:space="0" w:color="FFFFFF"/>
              <w:bottom w:val="single" w:sz="2" w:space="0" w:color="FFFFFF"/>
              <w:right w:val="single" w:sz="2" w:space="0" w:color="FFFFFF"/>
            </w:tcBorders>
          </w:tcPr>
          <w:p w14:paraId="1617B2AF" w14:textId="77777777" w:rsidR="00FD6F7A" w:rsidRPr="00C90D20" w:rsidRDefault="00F85FB4" w:rsidP="007D6051">
            <w:pPr>
              <w:pStyle w:val="cDate2"/>
            </w:pPr>
            <w:r w:rsidRPr="00C90D20">
              <w:t>1-1-21</w:t>
            </w:r>
          </w:p>
        </w:tc>
      </w:tr>
    </w:tbl>
    <w:p w14:paraId="6836F36C" w14:textId="77777777" w:rsidR="00FD6F7A" w:rsidRPr="00C90D20" w:rsidRDefault="00FD6F7A" w:rsidP="00F85FB4">
      <w:pPr>
        <w:pStyle w:val="ctext"/>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593161" w:rsidRPr="00C90D20" w14:paraId="78E1E4C4" w14:textId="77777777" w:rsidTr="00593161">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F2561E9" w14:textId="77777777" w:rsidR="00593161" w:rsidRPr="00C90D20" w:rsidRDefault="00593161">
            <w:pPr>
              <w:pStyle w:val="chead2"/>
            </w:pPr>
            <w:bookmarkStart w:id="34" w:name="_Toc199342358"/>
            <w:r w:rsidRPr="00C90D20">
              <w:t>212.100</w:t>
            </w:r>
            <w:r w:rsidRPr="00C90D20">
              <w:tab/>
              <w:t>Age Requirement</w:t>
            </w:r>
            <w:bookmarkEnd w:id="34"/>
          </w:p>
        </w:tc>
        <w:tc>
          <w:tcPr>
            <w:tcW w:w="1238" w:type="dxa"/>
            <w:tcBorders>
              <w:top w:val="single" w:sz="2" w:space="0" w:color="FFFFFF"/>
              <w:left w:val="single" w:sz="6" w:space="0" w:color="FFFFFF"/>
              <w:bottom w:val="single" w:sz="2" w:space="0" w:color="FFFFFF"/>
              <w:right w:val="single" w:sz="2" w:space="0" w:color="FFFFFF"/>
            </w:tcBorders>
            <w:hideMark/>
          </w:tcPr>
          <w:p w14:paraId="7829DBCB" w14:textId="77777777" w:rsidR="00593161" w:rsidRPr="00C90D20" w:rsidRDefault="00272C86">
            <w:pPr>
              <w:pStyle w:val="cDate2"/>
            </w:pPr>
            <w:r>
              <w:t>8-1-22</w:t>
            </w:r>
          </w:p>
        </w:tc>
      </w:tr>
    </w:tbl>
    <w:p w14:paraId="0D12344F" w14:textId="77777777" w:rsidR="00272C86" w:rsidRDefault="00272C86" w:rsidP="00272C86">
      <w:pPr>
        <w:pStyle w:val="ctext"/>
      </w:pPr>
      <w:bookmarkStart w:id="35" w:name="_Hlk43130142"/>
      <w:r>
        <w:t xml:space="preserve">A </w:t>
      </w:r>
      <w:r>
        <w:rPr>
          <w:highlight w:val="yellow"/>
        </w:rPr>
        <w:t>client</w:t>
      </w:r>
      <w:r w:rsidRPr="00C90D20">
        <w:t xml:space="preserve"> </w:t>
      </w:r>
      <w:r>
        <w:t>must meet one of the following age criteria to be enrolled in an ADDT program and receive covered ADDT services through the Arkansas Medicaid Program:</w:t>
      </w:r>
    </w:p>
    <w:p w14:paraId="0E6D6CFB" w14:textId="77777777" w:rsidR="00272C86" w:rsidRDefault="00272C86" w:rsidP="00272C86">
      <w:pPr>
        <w:pStyle w:val="CLETTERED"/>
      </w:pPr>
      <w:r>
        <w:t>A.</w:t>
      </w:r>
      <w:r>
        <w:tab/>
        <w:t xml:space="preserve">The </w:t>
      </w:r>
      <w:r>
        <w:rPr>
          <w:highlight w:val="yellow"/>
        </w:rPr>
        <w:t>client</w:t>
      </w:r>
      <w:r w:rsidRPr="00C90D20">
        <w:t xml:space="preserve"> </w:t>
      </w:r>
      <w:r>
        <w:t xml:space="preserve">is at least twenty-one (21) years of age; or </w:t>
      </w:r>
    </w:p>
    <w:p w14:paraId="16FA8817" w14:textId="77777777" w:rsidR="00593161" w:rsidRPr="00272C86" w:rsidRDefault="00272C86" w:rsidP="00272C86">
      <w:pPr>
        <w:pStyle w:val="CLETTERED"/>
      </w:pPr>
      <w:r>
        <w:t>B.</w:t>
      </w:r>
      <w:r>
        <w:tab/>
        <w:t xml:space="preserve">The </w:t>
      </w:r>
      <w:r>
        <w:rPr>
          <w:highlight w:val="yellow"/>
        </w:rPr>
        <w:t>client</w:t>
      </w:r>
      <w:r w:rsidRPr="00C90D20">
        <w:t xml:space="preserve"> </w:t>
      </w:r>
      <w:r>
        <w:t>is between eighteen (18) and twenty-one (21) years of age and has a high school diploma or a certificate of completion.</w:t>
      </w:r>
      <w:bookmarkEnd w:id="35"/>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593161" w:rsidRPr="00C90D20" w14:paraId="1911E689" w14:textId="77777777" w:rsidTr="00593161">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443A8F5" w14:textId="77777777" w:rsidR="00593161" w:rsidRPr="00C90D20" w:rsidRDefault="00593161">
            <w:pPr>
              <w:pStyle w:val="chead2"/>
            </w:pPr>
            <w:bookmarkStart w:id="36" w:name="_Toc199342359"/>
            <w:r w:rsidRPr="00C90D20">
              <w:t>212.200</w:t>
            </w:r>
            <w:r w:rsidRPr="00C90D20">
              <w:tab/>
              <w:t>Prescription</w:t>
            </w:r>
            <w:bookmarkEnd w:id="36"/>
          </w:p>
        </w:tc>
        <w:tc>
          <w:tcPr>
            <w:tcW w:w="1238" w:type="dxa"/>
            <w:tcBorders>
              <w:top w:val="single" w:sz="2" w:space="0" w:color="FFFFFF"/>
              <w:left w:val="single" w:sz="6" w:space="0" w:color="FFFFFF"/>
              <w:bottom w:val="single" w:sz="2" w:space="0" w:color="FFFFFF"/>
              <w:right w:val="single" w:sz="2" w:space="0" w:color="FFFFFF"/>
            </w:tcBorders>
            <w:hideMark/>
          </w:tcPr>
          <w:p w14:paraId="52B5873C" w14:textId="77777777" w:rsidR="00593161" w:rsidRPr="00C90D20" w:rsidRDefault="00765568">
            <w:pPr>
              <w:pStyle w:val="cDate2"/>
            </w:pPr>
            <w:r>
              <w:t>8-1-22</w:t>
            </w:r>
          </w:p>
        </w:tc>
      </w:tr>
    </w:tbl>
    <w:p w14:paraId="5EC5D229" w14:textId="77777777" w:rsidR="00987B18" w:rsidRDefault="00987B18" w:rsidP="00987B18">
      <w:pPr>
        <w:pStyle w:val="CLETTERED"/>
        <w:rPr>
          <w:highlight w:val="yellow"/>
        </w:rPr>
      </w:pPr>
      <w:r>
        <w:t>A.</w:t>
      </w:r>
      <w:r>
        <w:tab/>
      </w:r>
      <w:r>
        <w:rPr>
          <w:highlight w:val="yellow"/>
        </w:rPr>
        <w:t>All covered ADDT services other than ADDT Transportation services under Section 214.230</w:t>
      </w:r>
      <w:r>
        <w:t xml:space="preserve"> </w:t>
      </w:r>
      <w:r>
        <w:rPr>
          <w:highlight w:val="yellow"/>
        </w:rPr>
        <w:t>require a written prescription signed and dated by the client’s primary care provider (PCP) or attending licensed physician.</w:t>
      </w:r>
    </w:p>
    <w:p w14:paraId="661C582B" w14:textId="77777777" w:rsidR="00987B18" w:rsidRDefault="00987B18" w:rsidP="00987B18">
      <w:pPr>
        <w:pStyle w:val="CLETTERED"/>
      </w:pPr>
      <w:r>
        <w:rPr>
          <w:highlight w:val="yellow"/>
        </w:rPr>
        <w:t>B</w:t>
      </w:r>
      <w:r>
        <w:t>.</w:t>
      </w:r>
      <w:r>
        <w:tab/>
      </w:r>
      <w:r>
        <w:rPr>
          <w:highlight w:val="yellow"/>
        </w:rPr>
        <w:t xml:space="preserve">A </w:t>
      </w:r>
      <w:r>
        <w:t xml:space="preserve">prescription for </w:t>
      </w:r>
      <w:r>
        <w:rPr>
          <w:highlight w:val="yellow"/>
        </w:rPr>
        <w:t>covered</w:t>
      </w:r>
      <w:r>
        <w:t xml:space="preserve"> ADDT services is valid for one (1) year, unless a shorter period is specified.  The prescription must be renewed at least once a year for </w:t>
      </w:r>
      <w:r>
        <w:rPr>
          <w:highlight w:val="yellow"/>
        </w:rPr>
        <w:t xml:space="preserve">covered </w:t>
      </w:r>
      <w:r>
        <w:t xml:space="preserve">ADDT services to continue. </w:t>
      </w:r>
    </w:p>
    <w:p w14:paraId="686F4B53" w14:textId="77777777" w:rsidR="00987B18" w:rsidRDefault="00765568" w:rsidP="00987B18">
      <w:pPr>
        <w:pStyle w:val="CLETTERED"/>
      </w:pPr>
      <w:r>
        <w:rPr>
          <w:highlight w:val="yellow"/>
        </w:rPr>
        <w:t>D</w:t>
      </w:r>
      <w:r w:rsidR="00987B18">
        <w:t>.</w:t>
      </w:r>
      <w:r w:rsidR="00987B18">
        <w:tab/>
        <w:t xml:space="preserve">When prescribing ADDT services, the </w:t>
      </w:r>
      <w:r w:rsidR="00987B18">
        <w:rPr>
          <w:highlight w:val="yellow"/>
        </w:rPr>
        <w:t xml:space="preserve">client’s PCP or attending licensed </w:t>
      </w:r>
      <w:r w:rsidR="00987B18">
        <w:t>physician shall not make any self-referrals in violation of state or federal law.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593161" w:rsidRPr="00C90D20" w14:paraId="499CA232" w14:textId="77777777" w:rsidTr="00593161">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0A9A9F7" w14:textId="77777777" w:rsidR="00593161" w:rsidRPr="00C90D20" w:rsidRDefault="00593161">
            <w:pPr>
              <w:pStyle w:val="chead2"/>
            </w:pPr>
            <w:bookmarkStart w:id="37" w:name="_Toc199342360"/>
            <w:r w:rsidRPr="00C90D20">
              <w:t>212.300</w:t>
            </w:r>
            <w:r w:rsidRPr="00C90D20">
              <w:tab/>
              <w:t>Qualifying Diagnosis</w:t>
            </w:r>
            <w:bookmarkEnd w:id="37"/>
          </w:p>
        </w:tc>
        <w:tc>
          <w:tcPr>
            <w:tcW w:w="1238" w:type="dxa"/>
            <w:tcBorders>
              <w:top w:val="single" w:sz="2" w:space="0" w:color="FFFFFF"/>
              <w:left w:val="single" w:sz="6" w:space="0" w:color="FFFFFF"/>
              <w:bottom w:val="single" w:sz="2" w:space="0" w:color="FFFFFF"/>
              <w:right w:val="single" w:sz="2" w:space="0" w:color="FFFFFF"/>
            </w:tcBorders>
            <w:hideMark/>
          </w:tcPr>
          <w:p w14:paraId="57EA110A" w14:textId="77777777" w:rsidR="00593161" w:rsidRPr="00C90D20" w:rsidRDefault="00235F69">
            <w:pPr>
              <w:pStyle w:val="cDate2"/>
            </w:pPr>
            <w:r>
              <w:t>8-1-22</w:t>
            </w:r>
          </w:p>
        </w:tc>
      </w:tr>
    </w:tbl>
    <w:p w14:paraId="190731C8" w14:textId="77777777" w:rsidR="00235F69" w:rsidRDefault="00235F69" w:rsidP="00235F69">
      <w:pPr>
        <w:pStyle w:val="CLETTERED"/>
      </w:pPr>
      <w:r>
        <w:rPr>
          <w:highlight w:val="yellow"/>
        </w:rPr>
        <w:t>A.</w:t>
      </w:r>
      <w:r>
        <w:rPr>
          <w:highlight w:val="yellow"/>
        </w:rPr>
        <w:tab/>
      </w:r>
      <w:r>
        <w:t xml:space="preserve">A </w:t>
      </w:r>
      <w:r>
        <w:rPr>
          <w:highlight w:val="yellow"/>
        </w:rPr>
        <w:t xml:space="preserve">client </w:t>
      </w:r>
      <w:r>
        <w:t xml:space="preserve">must have a </w:t>
      </w:r>
      <w:r>
        <w:rPr>
          <w:highlight w:val="yellow"/>
        </w:rPr>
        <w:t xml:space="preserve">documented qualifying </w:t>
      </w:r>
      <w:r>
        <w:t>intellectual or developmental disability diagnosis that originated before the age of twenty-two (22) and is expected to continue indefinitely to receive covered ADDT services.</w:t>
      </w:r>
    </w:p>
    <w:p w14:paraId="440D826C" w14:textId="77777777" w:rsidR="00235F69" w:rsidRDefault="00235F69" w:rsidP="00235F69">
      <w:pPr>
        <w:pStyle w:val="CLETTERED"/>
      </w:pPr>
      <w:r>
        <w:rPr>
          <w:highlight w:val="yellow"/>
        </w:rPr>
        <w:lastRenderedPageBreak/>
        <w:t>B</w:t>
      </w:r>
      <w:r>
        <w:t>.</w:t>
      </w:r>
      <w:r>
        <w:tab/>
        <w:t>A qualifying intellectual or developmental disability diagnosis is any one of the following:</w:t>
      </w:r>
    </w:p>
    <w:p w14:paraId="55514EFC" w14:textId="77777777" w:rsidR="00235F69" w:rsidRDefault="00235F69" w:rsidP="00235F69">
      <w:pPr>
        <w:pStyle w:val="cnumbered"/>
      </w:pPr>
      <w:r>
        <w:t>1.</w:t>
      </w:r>
      <w:r>
        <w:tab/>
        <w:t xml:space="preserve">A diagnosis of Cerebral Palsy established by the results of a medical examination performed by </w:t>
      </w:r>
      <w:r>
        <w:rPr>
          <w:highlight w:val="yellow"/>
        </w:rPr>
        <w:t xml:space="preserve">the client’s primary care provider (PCP) or attending </w:t>
      </w:r>
      <w:r>
        <w:t xml:space="preserve">licensed </w:t>
      </w:r>
      <w:proofErr w:type="gramStart"/>
      <w:r>
        <w:t>physician;</w:t>
      </w:r>
      <w:proofErr w:type="gramEnd"/>
    </w:p>
    <w:p w14:paraId="2B500D03" w14:textId="77777777" w:rsidR="00235F69" w:rsidRDefault="00235F69" w:rsidP="00235F69">
      <w:pPr>
        <w:pStyle w:val="cnumbered"/>
      </w:pPr>
      <w:r>
        <w:t>2.</w:t>
      </w:r>
      <w:r>
        <w:tab/>
        <w:t xml:space="preserve">A diagnosis of Spina Bifida established by the results of a medical examination performed by </w:t>
      </w:r>
      <w:r>
        <w:rPr>
          <w:highlight w:val="yellow"/>
        </w:rPr>
        <w:t>the client’s PCP or attending</w:t>
      </w:r>
      <w:r>
        <w:t xml:space="preserve"> licensed </w:t>
      </w:r>
      <w:proofErr w:type="gramStart"/>
      <w:r>
        <w:t>physician;</w:t>
      </w:r>
      <w:proofErr w:type="gramEnd"/>
      <w:r>
        <w:t xml:space="preserve"> </w:t>
      </w:r>
    </w:p>
    <w:p w14:paraId="39100268" w14:textId="77777777" w:rsidR="00235F69" w:rsidRDefault="00235F69" w:rsidP="00235F69">
      <w:pPr>
        <w:pStyle w:val="cnumbered"/>
      </w:pPr>
      <w:r>
        <w:t>3.</w:t>
      </w:r>
      <w:r>
        <w:tab/>
        <w:t xml:space="preserve">A diagnosis of Down Syndrome established by the results of a medical examination performed by </w:t>
      </w:r>
      <w:r>
        <w:rPr>
          <w:highlight w:val="yellow"/>
        </w:rPr>
        <w:t>the client’s PCP or attending</w:t>
      </w:r>
      <w:r>
        <w:t xml:space="preserve"> licensed </w:t>
      </w:r>
      <w:proofErr w:type="gramStart"/>
      <w:r>
        <w:t>physician;</w:t>
      </w:r>
      <w:proofErr w:type="gramEnd"/>
    </w:p>
    <w:p w14:paraId="36393336" w14:textId="77777777" w:rsidR="00235F69" w:rsidRDefault="00235F69" w:rsidP="00235F69">
      <w:pPr>
        <w:pStyle w:val="cnumbered"/>
      </w:pPr>
      <w:r>
        <w:t>4.</w:t>
      </w:r>
      <w:r>
        <w:tab/>
        <w:t xml:space="preserve">A diagnosis of Epilepsy established by the results of a medical examination performed by </w:t>
      </w:r>
      <w:r>
        <w:rPr>
          <w:highlight w:val="yellow"/>
        </w:rPr>
        <w:t>the client’s primary care provider (PCP) or attending</w:t>
      </w:r>
      <w:r>
        <w:t xml:space="preserve"> licensed </w:t>
      </w:r>
      <w:proofErr w:type="gramStart"/>
      <w:r>
        <w:t>physician;</w:t>
      </w:r>
      <w:proofErr w:type="gramEnd"/>
    </w:p>
    <w:p w14:paraId="4B6E79E1" w14:textId="77777777" w:rsidR="00235F69" w:rsidRDefault="00235F69" w:rsidP="00235F69">
      <w:pPr>
        <w:pStyle w:val="cnumbered"/>
      </w:pPr>
      <w:r>
        <w:t>5.</w:t>
      </w:r>
      <w:r>
        <w:tab/>
        <w:t xml:space="preserve">A diagnosis of </w:t>
      </w:r>
      <w:proofErr w:type="gramStart"/>
      <w:r>
        <w:t>Autism Spectrum Disorder</w:t>
      </w:r>
      <w:proofErr w:type="gramEnd"/>
      <w:r>
        <w:t xml:space="preserve"> established by the results of evaluation</w:t>
      </w:r>
      <w:r>
        <w:rPr>
          <w:highlight w:val="yellow"/>
        </w:rPr>
        <w:t>s</w:t>
      </w:r>
      <w:r>
        <w:t xml:space="preserve"> </w:t>
      </w:r>
      <w:r>
        <w:rPr>
          <w:highlight w:val="yellow"/>
        </w:rPr>
        <w:t xml:space="preserve">performed by </w:t>
      </w:r>
      <w:bookmarkStart w:id="38" w:name="_Hlk97216014"/>
      <w:r>
        <w:rPr>
          <w:highlight w:val="yellow"/>
        </w:rPr>
        <w:t xml:space="preserve">at least two (2) of the following three (3) licensed professionals either individually or as a team: </w:t>
      </w:r>
      <w:bookmarkEnd w:id="38"/>
      <w:r>
        <w:t>physician, psychologist, and speech pathologist; or</w:t>
      </w:r>
    </w:p>
    <w:p w14:paraId="68468FB7" w14:textId="77777777" w:rsidR="00235F69" w:rsidRDefault="00235F69" w:rsidP="00235F69">
      <w:pPr>
        <w:pStyle w:val="cnumbered"/>
      </w:pPr>
      <w:r>
        <w:t>6.</w:t>
      </w:r>
      <w:r>
        <w:tab/>
      </w:r>
      <w:bookmarkStart w:id="39" w:name="_Hlk47709239"/>
      <w:r>
        <w:rPr>
          <w:rFonts w:cs="Arial"/>
          <w:szCs w:val="21"/>
        </w:rPr>
        <w:t xml:space="preserve">A diagnosis of </w:t>
      </w:r>
      <w:r>
        <w:rPr>
          <w:rFonts w:cs="Arial"/>
          <w:szCs w:val="21"/>
          <w:highlight w:val="yellow"/>
        </w:rPr>
        <w:t>i</w:t>
      </w:r>
      <w:r>
        <w:rPr>
          <w:rFonts w:cs="Arial"/>
          <w:szCs w:val="21"/>
        </w:rPr>
        <w:t xml:space="preserve">ntellectual </w:t>
      </w:r>
      <w:r>
        <w:rPr>
          <w:rFonts w:cs="Arial"/>
          <w:szCs w:val="21"/>
          <w:highlight w:val="yellow"/>
        </w:rPr>
        <w:t xml:space="preserve">and developmental </w:t>
      </w:r>
      <w:r>
        <w:rPr>
          <w:rFonts w:cs="Arial"/>
          <w:szCs w:val="21"/>
        </w:rPr>
        <w:t xml:space="preserve">disability or other similar </w:t>
      </w:r>
      <w:r>
        <w:t xml:space="preserve">condition found to be closely related to intellectual or developmental disability because it results in an impairment of general intellectual functioning or adaptive behavior similar to that of a person with an intellectual or developmental disability or requires treatment and services similar to that required for a person with an intellectual or developmental disability,  based on the results of a team evaluation performed by </w:t>
      </w:r>
      <w:r>
        <w:rPr>
          <w:highlight w:val="yellow"/>
        </w:rPr>
        <w:t>the client’s PCP or attending</w:t>
      </w:r>
      <w:r>
        <w:t xml:space="preserve"> licensed physician and a licensed psychologist.</w:t>
      </w:r>
    </w:p>
    <w:bookmarkEnd w:id="39"/>
    <w:p w14:paraId="76045DA8" w14:textId="77777777" w:rsidR="00593161" w:rsidRPr="00C90D20" w:rsidRDefault="00235F69" w:rsidP="00235F69">
      <w:pPr>
        <w:pStyle w:val="CLETTERED"/>
      </w:pPr>
      <w:r>
        <w:rPr>
          <w:highlight w:val="yellow"/>
        </w:rPr>
        <w:t>C</w:t>
      </w:r>
      <w:r>
        <w:t>.</w:t>
      </w:r>
      <w:r>
        <w:tab/>
        <w:t xml:space="preserve">The </w:t>
      </w:r>
      <w:r>
        <w:rPr>
          <w:highlight w:val="yellow"/>
        </w:rPr>
        <w:t xml:space="preserve">qualifying diagnosis </w:t>
      </w:r>
      <w:r>
        <w:t>must constitute a substantial handicap to the</w:t>
      </w:r>
      <w:r>
        <w:rPr>
          <w:highlight w:val="yellow"/>
        </w:rPr>
        <w:t xml:space="preserve"> client</w:t>
      </w:r>
      <w:r>
        <w:t xml:space="preserve">’s ability to function without appropriate support services in areas such as daily living and social activities, medical services, physical therapy, speech-language </w:t>
      </w:r>
      <w:r>
        <w:rPr>
          <w:highlight w:val="yellow"/>
        </w:rPr>
        <w:t>pathology</w:t>
      </w:r>
      <w:r>
        <w:t>, occupational therapy, job training, and employment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D6F7A" w:rsidRPr="00C90D20" w14:paraId="47373C6A" w14:textId="77777777" w:rsidTr="007D6051">
        <w:trPr>
          <w:cantSplit/>
        </w:trPr>
        <w:tc>
          <w:tcPr>
            <w:tcW w:w="8122" w:type="dxa"/>
            <w:tcBorders>
              <w:top w:val="single" w:sz="2" w:space="0" w:color="FFFFFF"/>
              <w:left w:val="single" w:sz="2" w:space="0" w:color="FFFFFF"/>
              <w:bottom w:val="single" w:sz="2" w:space="0" w:color="FFFFFF"/>
              <w:right w:val="single" w:sz="6" w:space="0" w:color="FFFFFF"/>
            </w:tcBorders>
          </w:tcPr>
          <w:p w14:paraId="2089F1BD" w14:textId="77777777" w:rsidR="00FD6F7A" w:rsidRPr="00C90D20" w:rsidRDefault="00FD6F7A" w:rsidP="007D6051">
            <w:pPr>
              <w:pStyle w:val="chead2"/>
            </w:pPr>
            <w:bookmarkStart w:id="40" w:name="_Toc474231159"/>
            <w:bookmarkStart w:id="41" w:name="_Toc199342361"/>
            <w:r w:rsidRPr="00C90D20">
              <w:t>213.000</w:t>
            </w:r>
            <w:r w:rsidRPr="00C90D20">
              <w:tab/>
              <w:t>Non-Covered Services</w:t>
            </w:r>
            <w:bookmarkEnd w:id="40"/>
            <w:bookmarkEnd w:id="41"/>
          </w:p>
        </w:tc>
        <w:tc>
          <w:tcPr>
            <w:tcW w:w="1238" w:type="dxa"/>
            <w:tcBorders>
              <w:top w:val="single" w:sz="2" w:space="0" w:color="FFFFFF"/>
              <w:left w:val="single" w:sz="6" w:space="0" w:color="FFFFFF"/>
              <w:bottom w:val="single" w:sz="2" w:space="0" w:color="FFFFFF"/>
              <w:right w:val="single" w:sz="2" w:space="0" w:color="FFFFFF"/>
            </w:tcBorders>
          </w:tcPr>
          <w:p w14:paraId="670BB54D" w14:textId="77777777" w:rsidR="00FD6F7A" w:rsidRPr="00C90D20" w:rsidRDefault="009650A1" w:rsidP="007D6051">
            <w:pPr>
              <w:pStyle w:val="cDate2"/>
            </w:pPr>
            <w:r>
              <w:t>8-1-22</w:t>
            </w:r>
          </w:p>
        </w:tc>
      </w:tr>
    </w:tbl>
    <w:p w14:paraId="2D158880" w14:textId="77777777" w:rsidR="00FD6F7A" w:rsidRPr="00C90D20" w:rsidRDefault="009650A1" w:rsidP="00593161">
      <w:pPr>
        <w:pStyle w:val="ctext"/>
      </w:pPr>
      <w:bookmarkStart w:id="42" w:name="_Hlk43217013"/>
      <w:r>
        <w:t xml:space="preserve">Arkansas Medicaid will only reimburse for those </w:t>
      </w:r>
      <w:r>
        <w:rPr>
          <w:highlight w:val="yellow"/>
        </w:rPr>
        <w:t xml:space="preserve">covered </w:t>
      </w:r>
      <w:r>
        <w:t xml:space="preserve">ADDT services listed in Sections 214.000.  Additionally, Arkansas Medicaid will only reimburse for ADDT services when such services are provided to a </w:t>
      </w:r>
      <w:r>
        <w:rPr>
          <w:highlight w:val="yellow"/>
        </w:rPr>
        <w:t xml:space="preserve">client </w:t>
      </w:r>
      <w:r>
        <w:t xml:space="preserve">meeting the eligibility requirements in Section 212.000 by an ADDT meeting the requirements of this </w:t>
      </w:r>
      <w:r>
        <w:rPr>
          <w:highlight w:val="yellow"/>
        </w:rPr>
        <w:t>m</w:t>
      </w:r>
      <w:r>
        <w:t>anual.</w:t>
      </w:r>
      <w:bookmarkEnd w:id="4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67EF6" w:rsidRPr="00C90D20" w14:paraId="1E120DBF" w14:textId="77777777" w:rsidTr="00AD041B">
        <w:trPr>
          <w:cantSplit/>
        </w:trPr>
        <w:tc>
          <w:tcPr>
            <w:tcW w:w="8122" w:type="dxa"/>
            <w:tcBorders>
              <w:top w:val="single" w:sz="2" w:space="0" w:color="FFFFFF"/>
              <w:left w:val="single" w:sz="2" w:space="0" w:color="FFFFFF"/>
              <w:bottom w:val="single" w:sz="2" w:space="0" w:color="FFFFFF"/>
              <w:right w:val="single" w:sz="6" w:space="0" w:color="FFFFFF"/>
            </w:tcBorders>
          </w:tcPr>
          <w:p w14:paraId="2E224FBF" w14:textId="77777777" w:rsidR="00867EF6" w:rsidRPr="00C90D20" w:rsidRDefault="00867EF6" w:rsidP="00867EF6">
            <w:pPr>
              <w:pStyle w:val="chead2"/>
            </w:pPr>
            <w:bookmarkStart w:id="43" w:name="_Toc199342362"/>
            <w:r w:rsidRPr="00C90D20">
              <w:t>214.000</w:t>
            </w:r>
            <w:r w:rsidRPr="00C90D20">
              <w:tab/>
            </w:r>
            <w:r w:rsidR="00593161" w:rsidRPr="00C90D20">
              <w:t>Covered ADDT Services</w:t>
            </w:r>
            <w:bookmarkEnd w:id="43"/>
          </w:p>
        </w:tc>
        <w:tc>
          <w:tcPr>
            <w:tcW w:w="1238" w:type="dxa"/>
            <w:tcBorders>
              <w:top w:val="single" w:sz="2" w:space="0" w:color="FFFFFF"/>
              <w:left w:val="single" w:sz="6" w:space="0" w:color="FFFFFF"/>
              <w:bottom w:val="single" w:sz="2" w:space="0" w:color="FFFFFF"/>
              <w:right w:val="single" w:sz="2" w:space="0" w:color="FFFFFF"/>
            </w:tcBorders>
          </w:tcPr>
          <w:p w14:paraId="755A2388" w14:textId="77777777" w:rsidR="00867EF6" w:rsidRPr="00C90D20" w:rsidRDefault="009650A1" w:rsidP="009D5485">
            <w:pPr>
              <w:pStyle w:val="cDate2"/>
            </w:pPr>
            <w:r>
              <w:t>8-1-22</w:t>
            </w:r>
          </w:p>
        </w:tc>
      </w:tr>
    </w:tbl>
    <w:p w14:paraId="35A61D3F" w14:textId="77777777" w:rsidR="009650A1" w:rsidRDefault="009650A1" w:rsidP="009650A1">
      <w:pPr>
        <w:pStyle w:val="ctext"/>
        <w:rPr>
          <w:highlight w:val="yellow"/>
        </w:rPr>
      </w:pPr>
      <w:r>
        <w:t>Covered ADDT services are either core services or optional services.</w:t>
      </w:r>
    </w:p>
    <w:p w14:paraId="40BCD0F4" w14:textId="77777777" w:rsidR="009650A1" w:rsidRDefault="009650A1" w:rsidP="009650A1">
      <w:pPr>
        <w:pStyle w:val="CLETTERED"/>
        <w:rPr>
          <w:highlight w:val="yellow"/>
        </w:rPr>
      </w:pPr>
      <w:r>
        <w:rPr>
          <w:highlight w:val="yellow"/>
        </w:rPr>
        <w:t>A.</w:t>
      </w:r>
      <w:r>
        <w:rPr>
          <w:highlight w:val="yellow"/>
        </w:rPr>
        <w:tab/>
      </w:r>
      <w:bookmarkStart w:id="44" w:name="_Hlk97216262"/>
      <w:r>
        <w:rPr>
          <w:highlight w:val="yellow"/>
        </w:rPr>
        <w:t>All covered ADDT services must be provided at the ADDT facility, or, in the case of ADDT transportation services, only involve the transportation of clients to or from the ADDT facility.</w:t>
      </w:r>
      <w:bookmarkEnd w:id="44"/>
    </w:p>
    <w:p w14:paraId="26A8FD07" w14:textId="77777777" w:rsidR="00593161" w:rsidRPr="00C90D20" w:rsidRDefault="009650A1" w:rsidP="009650A1">
      <w:pPr>
        <w:pStyle w:val="CLETTERED"/>
      </w:pPr>
      <w:r>
        <w:rPr>
          <w:highlight w:val="yellow"/>
        </w:rPr>
        <w:t>B.</w:t>
      </w:r>
      <w:r>
        <w:rPr>
          <w:highlight w:val="yellow"/>
        </w:rPr>
        <w:tab/>
      </w:r>
      <w:bookmarkStart w:id="45" w:name="_Hlk97216354"/>
      <w:r>
        <w:rPr>
          <w:highlight w:val="yellow"/>
        </w:rPr>
        <w:t>All covered ADDT services must be provided by individuals employed or contracted with the ADDT provider.</w:t>
      </w:r>
      <w:bookmarkEnd w:id="45"/>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67EF6" w:rsidRPr="00C90D20" w14:paraId="42ADDEE6" w14:textId="77777777" w:rsidTr="00AD041B">
        <w:trPr>
          <w:cantSplit/>
        </w:trPr>
        <w:tc>
          <w:tcPr>
            <w:tcW w:w="8122" w:type="dxa"/>
            <w:tcBorders>
              <w:top w:val="single" w:sz="2" w:space="0" w:color="FFFFFF"/>
              <w:left w:val="single" w:sz="2" w:space="0" w:color="FFFFFF"/>
              <w:bottom w:val="single" w:sz="2" w:space="0" w:color="FFFFFF"/>
              <w:right w:val="single" w:sz="6" w:space="0" w:color="FFFFFF"/>
            </w:tcBorders>
          </w:tcPr>
          <w:p w14:paraId="3BFFCDF5" w14:textId="77777777" w:rsidR="00867EF6" w:rsidRPr="00C90D20" w:rsidRDefault="00867EF6" w:rsidP="00867EF6">
            <w:pPr>
              <w:pStyle w:val="chead2"/>
            </w:pPr>
            <w:bookmarkStart w:id="46" w:name="_Toc199342363"/>
            <w:r w:rsidRPr="00C90D20">
              <w:t>214.100</w:t>
            </w:r>
            <w:r w:rsidRPr="00C90D20">
              <w:tab/>
              <w:t>ADDT Core Services</w:t>
            </w:r>
            <w:bookmarkEnd w:id="46"/>
          </w:p>
        </w:tc>
        <w:tc>
          <w:tcPr>
            <w:tcW w:w="1238" w:type="dxa"/>
            <w:tcBorders>
              <w:top w:val="single" w:sz="2" w:space="0" w:color="FFFFFF"/>
              <w:left w:val="single" w:sz="6" w:space="0" w:color="FFFFFF"/>
              <w:bottom w:val="single" w:sz="2" w:space="0" w:color="FFFFFF"/>
              <w:right w:val="single" w:sz="2" w:space="0" w:color="FFFFFF"/>
            </w:tcBorders>
          </w:tcPr>
          <w:p w14:paraId="5F8D16BB" w14:textId="77777777" w:rsidR="00867EF6" w:rsidRPr="00C90D20" w:rsidRDefault="009650A1" w:rsidP="009D5485">
            <w:pPr>
              <w:pStyle w:val="cDate2"/>
            </w:pPr>
            <w:r>
              <w:t>8-1-22</w:t>
            </w:r>
          </w:p>
        </w:tc>
      </w:tr>
    </w:tbl>
    <w:p w14:paraId="234CE4AA" w14:textId="77777777" w:rsidR="00FD6F7A" w:rsidRPr="00C90D20" w:rsidRDefault="009650A1" w:rsidP="00593161">
      <w:pPr>
        <w:pStyle w:val="ctext"/>
      </w:pPr>
      <w:r>
        <w:t xml:space="preserve">ADDT core services are those covered ADDT services that a provider must offer to its enrolled </w:t>
      </w:r>
      <w:r>
        <w:rPr>
          <w:highlight w:val="yellow"/>
        </w:rPr>
        <w:t>client</w:t>
      </w:r>
      <w:r>
        <w:t>s to be licensed as an ADDT</w:t>
      </w:r>
      <w:r>
        <w:rPr>
          <w:highlight w:val="yellow"/>
        </w:rPr>
        <w:t xml:space="preserve"> provider</w:t>
      </w:r>
      <w:r>
        <w:t>.</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867EF6" w:rsidRPr="00C90D20" w14:paraId="13ADA5E2" w14:textId="77777777" w:rsidTr="00593161">
        <w:trPr>
          <w:cantSplit/>
        </w:trPr>
        <w:tc>
          <w:tcPr>
            <w:tcW w:w="8122" w:type="dxa"/>
          </w:tcPr>
          <w:p w14:paraId="57ED0FB2" w14:textId="77777777" w:rsidR="00867EF6" w:rsidRPr="00C90D20" w:rsidRDefault="00867EF6" w:rsidP="00867EF6">
            <w:pPr>
              <w:pStyle w:val="chead2"/>
            </w:pPr>
            <w:bookmarkStart w:id="47" w:name="_Toc199342364"/>
            <w:r w:rsidRPr="00C90D20">
              <w:t>214.110</w:t>
            </w:r>
            <w:r w:rsidRPr="00C90D20">
              <w:tab/>
            </w:r>
            <w:r w:rsidR="00593161" w:rsidRPr="00C90D20">
              <w:t>ADDT Evaluation and Treatment Planning Services</w:t>
            </w:r>
            <w:bookmarkEnd w:id="47"/>
          </w:p>
        </w:tc>
        <w:tc>
          <w:tcPr>
            <w:tcW w:w="1238" w:type="dxa"/>
          </w:tcPr>
          <w:p w14:paraId="3C7FF382" w14:textId="77777777" w:rsidR="00867EF6" w:rsidRPr="00C90D20" w:rsidRDefault="00B9033D" w:rsidP="009D5485">
            <w:pPr>
              <w:pStyle w:val="cDate2"/>
            </w:pPr>
            <w:r>
              <w:t>8-1-22</w:t>
            </w:r>
          </w:p>
        </w:tc>
      </w:tr>
    </w:tbl>
    <w:p w14:paraId="07C198E9" w14:textId="77777777" w:rsidR="00B9033D" w:rsidRDefault="00B9033D" w:rsidP="00B9033D">
      <w:pPr>
        <w:pStyle w:val="CLETTERED"/>
      </w:pPr>
      <w:r>
        <w:rPr>
          <w:highlight w:val="yellow"/>
        </w:rPr>
        <w:t>A.</w:t>
      </w:r>
      <w:r>
        <w:rPr>
          <w:highlight w:val="yellow"/>
        </w:rPr>
        <w:tab/>
      </w:r>
      <w:r>
        <w:t xml:space="preserve">An ADDT </w:t>
      </w:r>
      <w:r>
        <w:rPr>
          <w:highlight w:val="yellow"/>
        </w:rPr>
        <w:t xml:space="preserve">provider </w:t>
      </w:r>
      <w:r>
        <w:t xml:space="preserve">may be reimbursed for medically necessary ADDT evaluation and treatment planning services.  ADDT evaluation and treatment planning services are a </w:t>
      </w:r>
      <w:r>
        <w:lastRenderedPageBreak/>
        <w:t xml:space="preserve">component of the process of determining a </w:t>
      </w:r>
      <w:r>
        <w:rPr>
          <w:highlight w:val="yellow"/>
        </w:rPr>
        <w:t>client</w:t>
      </w:r>
      <w:r>
        <w:t>’s eligibility for ADDT services and developing the</w:t>
      </w:r>
      <w:r>
        <w:rPr>
          <w:highlight w:val="yellow"/>
        </w:rPr>
        <w:t xml:space="preserve"> client</w:t>
      </w:r>
      <w:r>
        <w:t xml:space="preserve">’s </w:t>
      </w:r>
      <w:r>
        <w:rPr>
          <w:highlight w:val="yellow"/>
        </w:rPr>
        <w:t>i</w:t>
      </w:r>
      <w:r>
        <w:t xml:space="preserve">ndividualized </w:t>
      </w:r>
      <w:r>
        <w:rPr>
          <w:highlight w:val="yellow"/>
        </w:rPr>
        <w:t>t</w:t>
      </w:r>
      <w:r>
        <w:t xml:space="preserve">reatment </w:t>
      </w:r>
      <w:r>
        <w:rPr>
          <w:highlight w:val="yellow"/>
        </w:rPr>
        <w:t>p</w:t>
      </w:r>
      <w:r>
        <w:t>lan (ITP).</w:t>
      </w:r>
    </w:p>
    <w:p w14:paraId="2913D2E6" w14:textId="77777777" w:rsidR="00B9033D" w:rsidRDefault="00B9033D" w:rsidP="00B9033D">
      <w:pPr>
        <w:pStyle w:val="CLETTERED"/>
        <w:rPr>
          <w:highlight w:val="yellow"/>
        </w:rPr>
      </w:pPr>
      <w:bookmarkStart w:id="48" w:name="_Hlk43731667"/>
      <w:r>
        <w:rPr>
          <w:highlight w:val="yellow"/>
        </w:rPr>
        <w:t>B.</w:t>
      </w:r>
      <w:r>
        <w:rPr>
          <w:highlight w:val="yellow"/>
        </w:rPr>
        <w:tab/>
      </w:r>
      <w:r>
        <w:t>Medical necessity for ADDT evaluation and treatment planning services</w:t>
      </w:r>
      <w:bookmarkEnd w:id="48"/>
      <w:r>
        <w:t xml:space="preserve"> is </w:t>
      </w:r>
      <w:r>
        <w:rPr>
          <w:highlight w:val="yellow"/>
        </w:rPr>
        <w:t xml:space="preserve">established </w:t>
      </w:r>
      <w:r>
        <w:t xml:space="preserve">by a </w:t>
      </w:r>
      <w:r>
        <w:rPr>
          <w:highlight w:val="yellow"/>
        </w:rPr>
        <w:t>qualifying</w:t>
      </w:r>
      <w:r>
        <w:t xml:space="preserve"> diagnosis</w:t>
      </w:r>
      <w:r>
        <w:rPr>
          <w:highlight w:val="yellow"/>
        </w:rPr>
        <w:t xml:space="preserve"> pursuant to Section 212.300</w:t>
      </w:r>
      <w:r>
        <w:t>.</w:t>
      </w:r>
    </w:p>
    <w:p w14:paraId="788E9A7E" w14:textId="77777777" w:rsidR="00FD6F7A" w:rsidRPr="00C90D20" w:rsidRDefault="00B9033D" w:rsidP="00B9033D">
      <w:pPr>
        <w:pStyle w:val="CLETTERED"/>
      </w:pPr>
      <w:r>
        <w:rPr>
          <w:highlight w:val="yellow"/>
        </w:rPr>
        <w:t>C.</w:t>
      </w:r>
      <w:r>
        <w:rPr>
          <w:highlight w:val="yellow"/>
        </w:rPr>
        <w:tab/>
      </w:r>
      <w:r>
        <w:t xml:space="preserve">ADDT evaluation and treatment planning services are covered once per calendar year and reimbursed on a per unit basis.  The billable unit includes time spent </w:t>
      </w:r>
      <w:bookmarkStart w:id="49" w:name="_Hlk43471538"/>
      <w:r>
        <w:t>administering an evaluation, scoring an evaluation, writing an evaluation report</w:t>
      </w:r>
      <w:r>
        <w:rPr>
          <w:highlight w:val="yellow"/>
        </w:rPr>
        <w:t>, and</w:t>
      </w:r>
      <w:r>
        <w:t xml:space="preserve"> developing the ITP.</w:t>
      </w:r>
      <w:bookmarkEnd w:id="49"/>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D6F7A" w:rsidRPr="00C90D20" w14:paraId="430E29E2" w14:textId="77777777" w:rsidTr="007D6051">
        <w:trPr>
          <w:cantSplit/>
        </w:trPr>
        <w:tc>
          <w:tcPr>
            <w:tcW w:w="8122" w:type="dxa"/>
            <w:tcBorders>
              <w:top w:val="single" w:sz="2" w:space="0" w:color="FFFFFF"/>
              <w:left w:val="single" w:sz="2" w:space="0" w:color="FFFFFF"/>
              <w:bottom w:val="single" w:sz="2" w:space="0" w:color="FFFFFF"/>
              <w:right w:val="single" w:sz="6" w:space="0" w:color="FFFFFF"/>
            </w:tcBorders>
          </w:tcPr>
          <w:p w14:paraId="11C9C4EB" w14:textId="77777777" w:rsidR="00FD6F7A" w:rsidRPr="00C90D20" w:rsidRDefault="00FD6F7A" w:rsidP="007D6051">
            <w:pPr>
              <w:pStyle w:val="chead2"/>
            </w:pPr>
            <w:bookmarkStart w:id="50" w:name="_Toc148238464"/>
            <w:bookmarkStart w:id="51" w:name="_Toc474231163"/>
            <w:bookmarkStart w:id="52" w:name="_Toc199342365"/>
            <w:r w:rsidRPr="00C90D20">
              <w:t>214.120</w:t>
            </w:r>
            <w:r w:rsidRPr="00C90D20">
              <w:tab/>
            </w:r>
            <w:bookmarkEnd w:id="50"/>
            <w:bookmarkEnd w:id="51"/>
            <w:r w:rsidR="00593161" w:rsidRPr="00C90D20">
              <w:t>Day Habilitative Services</w:t>
            </w:r>
            <w:bookmarkEnd w:id="52"/>
          </w:p>
        </w:tc>
        <w:tc>
          <w:tcPr>
            <w:tcW w:w="1238" w:type="dxa"/>
            <w:tcBorders>
              <w:top w:val="single" w:sz="2" w:space="0" w:color="FFFFFF"/>
              <w:left w:val="single" w:sz="6" w:space="0" w:color="FFFFFF"/>
              <w:bottom w:val="single" w:sz="2" w:space="0" w:color="FFFFFF"/>
              <w:right w:val="single" w:sz="2" w:space="0" w:color="FFFFFF"/>
            </w:tcBorders>
          </w:tcPr>
          <w:p w14:paraId="049429A4" w14:textId="77777777" w:rsidR="00FD6F7A" w:rsidRPr="00C90D20" w:rsidRDefault="008120B3" w:rsidP="007D6051">
            <w:pPr>
              <w:pStyle w:val="cDate2"/>
            </w:pPr>
            <w:r>
              <w:t>8-1-22</w:t>
            </w:r>
          </w:p>
        </w:tc>
      </w:tr>
    </w:tbl>
    <w:p w14:paraId="11698A83" w14:textId="77777777" w:rsidR="008120B3" w:rsidRDefault="008120B3" w:rsidP="008120B3">
      <w:pPr>
        <w:pStyle w:val="CLETTERED"/>
        <w:rPr>
          <w:highlight w:val="yellow"/>
        </w:rPr>
      </w:pPr>
      <w:r>
        <w:t>A.</w:t>
      </w:r>
      <w:r>
        <w:tab/>
        <w:t xml:space="preserve">An ADDT </w:t>
      </w:r>
      <w:r>
        <w:rPr>
          <w:highlight w:val="yellow"/>
        </w:rPr>
        <w:t xml:space="preserve">provider </w:t>
      </w:r>
      <w:r>
        <w:t>may be reimbursed for medically necessary day habilitative services.</w:t>
      </w:r>
      <w:bookmarkStart w:id="53" w:name="_Hlk43731150"/>
    </w:p>
    <w:p w14:paraId="18F37B0A" w14:textId="77777777" w:rsidR="008120B3" w:rsidRDefault="008120B3" w:rsidP="008120B3">
      <w:pPr>
        <w:pStyle w:val="CLETTERED"/>
        <w:rPr>
          <w:highlight w:val="yellow"/>
        </w:rPr>
      </w:pPr>
      <w:r>
        <w:rPr>
          <w:highlight w:val="yellow"/>
        </w:rPr>
        <w:t>B.</w:t>
      </w:r>
      <w:r>
        <w:rPr>
          <w:highlight w:val="yellow"/>
        </w:rPr>
        <w:tab/>
      </w:r>
      <w:r>
        <w:t xml:space="preserve">Medical necessity for day habilitative services </w:t>
      </w:r>
      <w:bookmarkStart w:id="54" w:name="_Hlk43731471"/>
      <w:r>
        <w:t xml:space="preserve">is established </w:t>
      </w:r>
      <w:bookmarkStart w:id="55" w:name="_Hlk43731135"/>
      <w:r>
        <w:t xml:space="preserve">by </w:t>
      </w:r>
      <w:bookmarkEnd w:id="53"/>
      <w:r>
        <w:t xml:space="preserve">a </w:t>
      </w:r>
      <w:r>
        <w:rPr>
          <w:highlight w:val="yellow"/>
        </w:rPr>
        <w:t xml:space="preserve">qualifying </w:t>
      </w:r>
      <w:r>
        <w:t xml:space="preserve">diagnosis </w:t>
      </w:r>
      <w:r>
        <w:rPr>
          <w:highlight w:val="yellow"/>
        </w:rPr>
        <w:t>under Section 212.300.</w:t>
      </w:r>
      <w:bookmarkEnd w:id="54"/>
      <w:bookmarkEnd w:id="55"/>
    </w:p>
    <w:p w14:paraId="4FC3F1FE" w14:textId="77777777" w:rsidR="008120B3" w:rsidRDefault="008120B3" w:rsidP="008120B3">
      <w:pPr>
        <w:pStyle w:val="CLETTERED"/>
      </w:pPr>
      <w:r>
        <w:rPr>
          <w:highlight w:val="yellow"/>
        </w:rPr>
        <w:t>C.</w:t>
      </w:r>
      <w:r>
        <w:rPr>
          <w:highlight w:val="yellow"/>
        </w:rPr>
        <w:tab/>
      </w:r>
      <w:r>
        <w:t>ADDT day habilitative services include the following:</w:t>
      </w:r>
    </w:p>
    <w:p w14:paraId="2B27826E" w14:textId="77777777" w:rsidR="008120B3" w:rsidRDefault="008120B3" w:rsidP="008120B3">
      <w:pPr>
        <w:pStyle w:val="cnumbered"/>
      </w:pPr>
      <w:r>
        <w:t>1.</w:t>
      </w:r>
      <w:r>
        <w:tab/>
        <w:t xml:space="preserve">Instruction in areas of cognition, communication, social and emotional, </w:t>
      </w:r>
      <w:proofErr w:type="gramStart"/>
      <w:r>
        <w:t>motor</w:t>
      </w:r>
      <w:proofErr w:type="gramEnd"/>
      <w:r>
        <w:t xml:space="preserve"> or adaptive (including self-care) </w:t>
      </w:r>
      <w:proofErr w:type="gramStart"/>
      <w:r>
        <w:t>skills;</w:t>
      </w:r>
      <w:proofErr w:type="gramEnd"/>
    </w:p>
    <w:p w14:paraId="25C371AE" w14:textId="77777777" w:rsidR="008120B3" w:rsidRDefault="008120B3" w:rsidP="008120B3">
      <w:pPr>
        <w:pStyle w:val="cnumbered"/>
      </w:pPr>
      <w:r>
        <w:t>2.</w:t>
      </w:r>
      <w:r>
        <w:tab/>
        <w:t xml:space="preserve">Instruction to reinforce skills learned and practiced </w:t>
      </w:r>
      <w:r>
        <w:rPr>
          <w:highlight w:val="yellow"/>
        </w:rPr>
        <w:t>as part of</w:t>
      </w:r>
      <w:r>
        <w:t xml:space="preserve"> occupational</w:t>
      </w:r>
      <w:r>
        <w:rPr>
          <w:highlight w:val="yellow"/>
        </w:rPr>
        <w:t xml:space="preserve"> therapy</w:t>
      </w:r>
      <w:r>
        <w:t>, physical</w:t>
      </w:r>
      <w:r>
        <w:rPr>
          <w:highlight w:val="yellow"/>
        </w:rPr>
        <w:t xml:space="preserve"> therapy</w:t>
      </w:r>
      <w:r>
        <w:t xml:space="preserve">, or speech-language </w:t>
      </w:r>
      <w:r>
        <w:rPr>
          <w:highlight w:val="yellow"/>
        </w:rPr>
        <w:t>pathology services</w:t>
      </w:r>
      <w:r>
        <w:t>; or</w:t>
      </w:r>
    </w:p>
    <w:p w14:paraId="55ECF122" w14:textId="77777777" w:rsidR="008120B3" w:rsidRDefault="008120B3" w:rsidP="008120B3">
      <w:pPr>
        <w:pStyle w:val="cnumbered"/>
      </w:pPr>
      <w:r>
        <w:t>3.</w:t>
      </w:r>
      <w:r>
        <w:tab/>
        <w:t xml:space="preserve">Prevocational services that prepare a </w:t>
      </w:r>
      <w:r>
        <w:rPr>
          <w:highlight w:val="yellow"/>
        </w:rPr>
        <w:t xml:space="preserve">client </w:t>
      </w:r>
      <w:r>
        <w:t>for employment.</w:t>
      </w:r>
    </w:p>
    <w:p w14:paraId="7DEB85C8" w14:textId="77777777" w:rsidR="008120B3" w:rsidRDefault="008120B3" w:rsidP="008120B3">
      <w:pPr>
        <w:pStyle w:val="cletteredindent"/>
      </w:pPr>
      <w:r>
        <w:t>a.</w:t>
      </w:r>
      <w:r>
        <w:tab/>
        <w:t xml:space="preserve">Prevocational services may </w:t>
      </w:r>
      <w:r>
        <w:rPr>
          <w:iCs/>
        </w:rPr>
        <w:t xml:space="preserve">not </w:t>
      </w:r>
      <w:r>
        <w:t>be used to provide job specific skill and task instruction, or address explicit employment objectives, but may:</w:t>
      </w:r>
    </w:p>
    <w:p w14:paraId="4F784117" w14:textId="77777777" w:rsidR="008120B3" w:rsidRDefault="008120B3" w:rsidP="008120B3">
      <w:pPr>
        <w:pStyle w:val="cletteredindent"/>
        <w:ind w:left="2520"/>
      </w:pPr>
      <w:proofErr w:type="spellStart"/>
      <w:r>
        <w:t>i</w:t>
      </w:r>
      <w:proofErr w:type="spellEnd"/>
      <w:r>
        <w:t>.</w:t>
      </w:r>
      <w:r>
        <w:tab/>
        <w:t xml:space="preserve">Include </w:t>
      </w:r>
      <w:r>
        <w:rPr>
          <w:iCs/>
        </w:rPr>
        <w:t>habilitative</w:t>
      </w:r>
      <w:r>
        <w:t xml:space="preserve"> goals such as compliance, attending, task completion, problem solving</w:t>
      </w:r>
      <w:r>
        <w:rPr>
          <w:highlight w:val="yellow"/>
        </w:rPr>
        <w:t>,</w:t>
      </w:r>
      <w:r>
        <w:t xml:space="preserve"> and safety</w:t>
      </w:r>
      <w:r>
        <w:rPr>
          <w:highlight w:val="yellow"/>
        </w:rPr>
        <w:t>;</w:t>
      </w:r>
      <w:r>
        <w:t xml:space="preserve"> and</w:t>
      </w:r>
    </w:p>
    <w:p w14:paraId="5365FDE0" w14:textId="77777777" w:rsidR="008120B3" w:rsidRDefault="008120B3" w:rsidP="008120B3">
      <w:pPr>
        <w:pStyle w:val="cletteredindent"/>
        <w:ind w:left="2520"/>
      </w:pPr>
      <w:r>
        <w:t>ii.</w:t>
      </w:r>
      <w:r>
        <w:tab/>
        <w:t xml:space="preserve">Be provided only to </w:t>
      </w:r>
      <w:r>
        <w:rPr>
          <w:highlight w:val="yellow"/>
        </w:rPr>
        <w:t xml:space="preserve">clients </w:t>
      </w:r>
      <w:r>
        <w:t>who are not expected to be able to join the general work force or to participate in a transitional sheltered workshop within one (1) year (excluding supported employment programs).</w:t>
      </w:r>
    </w:p>
    <w:p w14:paraId="0AC95125" w14:textId="77777777" w:rsidR="008120B3" w:rsidRDefault="008120B3" w:rsidP="008120B3">
      <w:pPr>
        <w:pStyle w:val="cletteredindent"/>
      </w:pPr>
      <w:r>
        <w:t>b.</w:t>
      </w:r>
      <w:r>
        <w:tab/>
        <w:t xml:space="preserve">A </w:t>
      </w:r>
      <w:r>
        <w:rPr>
          <w:highlight w:val="yellow"/>
        </w:rPr>
        <w:t>client</w:t>
      </w:r>
      <w:r>
        <w:t>’s compensation for prevocational services must be less than fifty percent (50%) of the minimum wage for the training to qualify as prevocational services.</w:t>
      </w:r>
    </w:p>
    <w:p w14:paraId="683AB8F4" w14:textId="77777777" w:rsidR="008120B3" w:rsidRDefault="008120B3" w:rsidP="008120B3">
      <w:pPr>
        <w:pStyle w:val="cletteredindent"/>
      </w:pPr>
      <w:r>
        <w:t>c.</w:t>
      </w:r>
      <w:r>
        <w:tab/>
        <w:t xml:space="preserve">A </w:t>
      </w:r>
      <w:r>
        <w:rPr>
          <w:highlight w:val="yellow"/>
        </w:rPr>
        <w:t xml:space="preserve">client </w:t>
      </w:r>
      <w:r>
        <w:t>receiving prevocational services must have documentation in his or her file demonstrating such services are not available under a program funded under Section 110 of the Rehabilitation Act of 1973, as amended, or the Individuals with Disabilities Education Act (IDEA) of 1997.</w:t>
      </w:r>
    </w:p>
    <w:p w14:paraId="2FD6518B" w14:textId="77777777" w:rsidR="00FD6F7A" w:rsidRPr="00C90D20" w:rsidRDefault="008120B3" w:rsidP="00593161">
      <w:pPr>
        <w:pStyle w:val="CLETTERED"/>
        <w:rPr>
          <w:noProof/>
        </w:rPr>
      </w:pPr>
      <w:r>
        <w:rPr>
          <w:highlight w:val="yellow"/>
        </w:rPr>
        <w:t>D</w:t>
      </w:r>
      <w:r>
        <w:t>.</w:t>
      </w:r>
      <w:r>
        <w:tab/>
        <w:t xml:space="preserve">ADDT day habilitative services are reimbursed on a per unit basis.  No more than five (5) </w:t>
      </w:r>
      <w:r>
        <w:rPr>
          <w:rFonts w:cs="Arial"/>
          <w:szCs w:val="21"/>
        </w:rPr>
        <w:t>hours of ADDT day habilitative services may be billed per day without an extension of benefits.</w:t>
      </w:r>
      <w:r>
        <w:t xml:space="preserve">  </w:t>
      </w:r>
      <w:r>
        <w:rPr>
          <w:rFonts w:cs="Arial"/>
          <w:szCs w:val="21"/>
        </w:rPr>
        <w:t xml:space="preserve">The unit of service calculation does not include </w:t>
      </w:r>
      <w:r>
        <w:t xml:space="preserve">time spent in transit </w:t>
      </w:r>
      <w:r>
        <w:rPr>
          <w:highlight w:val="yellow"/>
        </w:rPr>
        <w:t xml:space="preserve">to and </w:t>
      </w:r>
      <w:r>
        <w:t xml:space="preserve">from the ADDT facility.  </w:t>
      </w:r>
      <w:bookmarkStart w:id="56" w:name="_Hlk43475009"/>
      <w:r>
        <w:fldChar w:fldCharType="begin"/>
      </w:r>
      <w:r>
        <w:instrText xml:space="preserve"> HYPERLINK "https://humanservices.arkansas.gov/wp-content/uploads/ADDT_ProcCodes.xlsx" </w:instrText>
      </w:r>
      <w:r>
        <w:fldChar w:fldCharType="separate"/>
      </w:r>
      <w:r>
        <w:rPr>
          <w:rStyle w:val="Hyperlink"/>
          <w:noProof/>
        </w:rPr>
        <w:t xml:space="preserve">View or print the billable </w:t>
      </w:r>
      <w:r>
        <w:rPr>
          <w:rStyle w:val="Hyperlink"/>
          <w:noProof/>
          <w:highlight w:val="yellow"/>
        </w:rPr>
        <w:t xml:space="preserve">ADDT </w:t>
      </w:r>
      <w:r>
        <w:rPr>
          <w:rStyle w:val="Hyperlink"/>
          <w:noProof/>
        </w:rPr>
        <w:t xml:space="preserve">day habilitative </w:t>
      </w:r>
      <w:r>
        <w:rPr>
          <w:rStyle w:val="Hyperlink"/>
          <w:noProof/>
          <w:highlight w:val="yellow"/>
        </w:rPr>
        <w:t>services procedure</w:t>
      </w:r>
      <w:r>
        <w:rPr>
          <w:rStyle w:val="Hyperlink"/>
          <w:noProof/>
        </w:rPr>
        <w:t xml:space="preserve"> code</w:t>
      </w:r>
      <w:r>
        <w:rPr>
          <w:rStyle w:val="Hyperlink"/>
          <w:noProof/>
          <w:highlight w:val="yellow"/>
        </w:rPr>
        <w:t>s and description</w:t>
      </w:r>
      <w:r>
        <w:rPr>
          <w:rStyle w:val="Hyperlink"/>
          <w:noProof/>
        </w:rPr>
        <w:t>s</w:t>
      </w:r>
      <w:r>
        <w:fldChar w:fldCharType="end"/>
      </w:r>
      <w:r>
        <w:rPr>
          <w:noProof/>
        </w:rPr>
        <w:t>.</w:t>
      </w:r>
      <w:bookmarkEnd w:id="56"/>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593161" w:rsidRPr="00C90D20" w14:paraId="4F9898C2" w14:textId="77777777" w:rsidTr="00593161">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C03005C" w14:textId="77777777" w:rsidR="00593161" w:rsidRPr="00C90D20" w:rsidRDefault="00593161">
            <w:pPr>
              <w:pStyle w:val="chead2"/>
            </w:pPr>
            <w:bookmarkStart w:id="57" w:name="_Toc46740209"/>
            <w:bookmarkStart w:id="58" w:name="_Toc199342366"/>
            <w:r w:rsidRPr="00C90D20">
              <w:t>214.200</w:t>
            </w:r>
            <w:r w:rsidRPr="00C90D20">
              <w:tab/>
              <w:t>ADDT Optional Services</w:t>
            </w:r>
            <w:bookmarkEnd w:id="57"/>
            <w:bookmarkEnd w:id="58"/>
          </w:p>
        </w:tc>
        <w:tc>
          <w:tcPr>
            <w:tcW w:w="1238" w:type="dxa"/>
            <w:tcBorders>
              <w:top w:val="single" w:sz="2" w:space="0" w:color="FFFFFF"/>
              <w:left w:val="single" w:sz="6" w:space="0" w:color="FFFFFF"/>
              <w:bottom w:val="single" w:sz="2" w:space="0" w:color="FFFFFF"/>
              <w:right w:val="single" w:sz="2" w:space="0" w:color="FFFFFF"/>
            </w:tcBorders>
            <w:hideMark/>
          </w:tcPr>
          <w:p w14:paraId="2A31B279" w14:textId="77777777" w:rsidR="00593161" w:rsidRPr="00C90D20" w:rsidRDefault="000F3FD3">
            <w:pPr>
              <w:pStyle w:val="cDate2"/>
            </w:pPr>
            <w:r>
              <w:t>8-1-22</w:t>
            </w:r>
          </w:p>
        </w:tc>
      </w:tr>
    </w:tbl>
    <w:p w14:paraId="2C292B49" w14:textId="77777777" w:rsidR="00593161" w:rsidRPr="00C90D20" w:rsidRDefault="000F3FD3" w:rsidP="00593161">
      <w:pPr>
        <w:pStyle w:val="ctext"/>
      </w:pPr>
      <w:r>
        <w:t xml:space="preserve">ADDT optional services are those covered ADDT services that a </w:t>
      </w:r>
      <w:r>
        <w:rPr>
          <w:highlight w:val="yellow"/>
        </w:rPr>
        <w:t xml:space="preserve">licensed ADDT </w:t>
      </w:r>
      <w:r>
        <w:t xml:space="preserve">provider may, but is not required to, offer to its </w:t>
      </w:r>
      <w:r>
        <w:rPr>
          <w:highlight w:val="yellow"/>
        </w:rPr>
        <w:t>clients</w:t>
      </w:r>
      <w: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593161" w:rsidRPr="00C90D20" w14:paraId="44D65C0A" w14:textId="77777777" w:rsidTr="00593161">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26E5D12" w14:textId="77777777" w:rsidR="00593161" w:rsidRPr="00C90D20" w:rsidRDefault="00593161">
            <w:pPr>
              <w:pStyle w:val="chead2"/>
            </w:pPr>
            <w:bookmarkStart w:id="59" w:name="_Toc46740210"/>
            <w:bookmarkStart w:id="60" w:name="_Toc199342367"/>
            <w:r w:rsidRPr="00C90D20">
              <w:t>214.210</w:t>
            </w:r>
            <w:r w:rsidRPr="00C90D20">
              <w:tab/>
            </w:r>
            <w:r w:rsidR="000F3FD3">
              <w:t>Occupational</w:t>
            </w:r>
            <w:r w:rsidR="000F3FD3">
              <w:rPr>
                <w:highlight w:val="yellow"/>
              </w:rPr>
              <w:t xml:space="preserve"> Therapy</w:t>
            </w:r>
            <w:r w:rsidR="000F3FD3">
              <w:t>, Physical</w:t>
            </w:r>
            <w:r w:rsidR="000F3FD3">
              <w:rPr>
                <w:highlight w:val="yellow"/>
              </w:rPr>
              <w:t xml:space="preserve"> Therapy,</w:t>
            </w:r>
            <w:r w:rsidR="000F3FD3">
              <w:t xml:space="preserve"> and Speech-Language </w:t>
            </w:r>
            <w:r w:rsidR="000F3FD3">
              <w:rPr>
                <w:highlight w:val="yellow"/>
              </w:rPr>
              <w:t xml:space="preserve">Pathology </w:t>
            </w:r>
            <w:r w:rsidR="000F3FD3">
              <w:t>Services</w:t>
            </w:r>
            <w:bookmarkEnd w:id="59"/>
            <w:bookmarkEnd w:id="60"/>
          </w:p>
        </w:tc>
        <w:tc>
          <w:tcPr>
            <w:tcW w:w="1238" w:type="dxa"/>
            <w:tcBorders>
              <w:top w:val="single" w:sz="2" w:space="0" w:color="FFFFFF"/>
              <w:left w:val="single" w:sz="6" w:space="0" w:color="FFFFFF"/>
              <w:bottom w:val="single" w:sz="2" w:space="0" w:color="FFFFFF"/>
              <w:right w:val="single" w:sz="2" w:space="0" w:color="FFFFFF"/>
            </w:tcBorders>
            <w:hideMark/>
          </w:tcPr>
          <w:p w14:paraId="1EF5554E" w14:textId="77777777" w:rsidR="00593161" w:rsidRPr="00C90D20" w:rsidRDefault="000F3FD3">
            <w:pPr>
              <w:pStyle w:val="cDate2"/>
            </w:pPr>
            <w:r>
              <w:t>8-1-22</w:t>
            </w:r>
          </w:p>
        </w:tc>
      </w:tr>
    </w:tbl>
    <w:p w14:paraId="6E95C924" w14:textId="77777777" w:rsidR="000F3FD3" w:rsidRDefault="000F3FD3" w:rsidP="000F3FD3">
      <w:pPr>
        <w:pStyle w:val="CLETTERED"/>
        <w:rPr>
          <w:highlight w:val="yellow"/>
        </w:rPr>
      </w:pPr>
      <w:bookmarkStart w:id="61" w:name="_Hlk43726938"/>
      <w:r>
        <w:t>A.</w:t>
      </w:r>
      <w:r>
        <w:tab/>
      </w:r>
      <w:bookmarkStart w:id="62" w:name="_Hlk43726594"/>
      <w:r>
        <w:t xml:space="preserve">An ADDT </w:t>
      </w:r>
      <w:r>
        <w:rPr>
          <w:highlight w:val="yellow"/>
        </w:rPr>
        <w:t xml:space="preserve">provider </w:t>
      </w:r>
      <w:r>
        <w:t>may be reimbursed for medically necessary occupational</w:t>
      </w:r>
      <w:r>
        <w:rPr>
          <w:highlight w:val="yellow"/>
        </w:rPr>
        <w:t xml:space="preserve"> therapy</w:t>
      </w:r>
      <w:r>
        <w:t>, physical</w:t>
      </w:r>
      <w:r>
        <w:rPr>
          <w:highlight w:val="yellow"/>
        </w:rPr>
        <w:t xml:space="preserve"> therapy</w:t>
      </w:r>
      <w:r>
        <w:t xml:space="preserve">, and speech-language </w:t>
      </w:r>
      <w:r>
        <w:rPr>
          <w:highlight w:val="yellow"/>
        </w:rPr>
        <w:t xml:space="preserve">pathology </w:t>
      </w:r>
      <w:r>
        <w:t xml:space="preserve">evaluation and </w:t>
      </w:r>
      <w:r>
        <w:rPr>
          <w:highlight w:val="yellow"/>
        </w:rPr>
        <w:t>treatment planning</w:t>
      </w:r>
      <w:r>
        <w:t xml:space="preserve"> services.</w:t>
      </w:r>
      <w:bookmarkEnd w:id="62"/>
    </w:p>
    <w:p w14:paraId="03525E4C" w14:textId="77777777" w:rsidR="000F3FD3" w:rsidRDefault="000F3FD3" w:rsidP="000F3FD3">
      <w:pPr>
        <w:pStyle w:val="cnumbered"/>
        <w:rPr>
          <w:highlight w:val="yellow"/>
        </w:rPr>
      </w:pPr>
      <w:r>
        <w:rPr>
          <w:highlight w:val="yellow"/>
        </w:rPr>
        <w:lastRenderedPageBreak/>
        <w:t>1.</w:t>
      </w:r>
      <w:r>
        <w:rPr>
          <w:highlight w:val="yellow"/>
        </w:rPr>
        <w:tab/>
        <w:t>A qualifying diagnosis pursuant to Section 212.300 of this manual alone does not establish the medical necessity of occupational therapy, physical therapy, or speech-language pathology evaluation and treatment planning services.</w:t>
      </w:r>
    </w:p>
    <w:p w14:paraId="09F83299" w14:textId="77777777" w:rsidR="000F3FD3" w:rsidRDefault="000F3FD3" w:rsidP="000F3FD3">
      <w:pPr>
        <w:pStyle w:val="cnumbered"/>
        <w:rPr>
          <w:highlight w:val="yellow"/>
        </w:rPr>
      </w:pPr>
      <w:r>
        <w:rPr>
          <w:highlight w:val="yellow"/>
        </w:rPr>
        <w:t>2.</w:t>
      </w:r>
      <w:r>
        <w:rPr>
          <w:highlight w:val="yellow"/>
        </w:rPr>
        <w:tab/>
        <w:t>The medical necessity for occupational therapy, physical therapy, and speech-language pathology evaluation and treatment planning services is demonstrated by a written referral to evaluate that is signed by the client’s primary care provider (PCP) or attending physician.</w:t>
      </w:r>
    </w:p>
    <w:p w14:paraId="11B9D8C6" w14:textId="77777777" w:rsidR="000F3FD3" w:rsidRDefault="000F3FD3" w:rsidP="000F3FD3">
      <w:pPr>
        <w:pStyle w:val="cnumbered"/>
        <w:rPr>
          <w:highlight w:val="yellow"/>
        </w:rPr>
      </w:pPr>
      <w:r>
        <w:rPr>
          <w:highlight w:val="yellow"/>
        </w:rPr>
        <w:t>3.</w:t>
      </w:r>
      <w:r>
        <w:rPr>
          <w:highlight w:val="yellow"/>
        </w:rPr>
        <w:tab/>
      </w:r>
      <w:proofErr w:type="gramStart"/>
      <w:r>
        <w:rPr>
          <w:highlight w:val="yellow"/>
        </w:rPr>
        <w:t>All of</w:t>
      </w:r>
      <w:proofErr w:type="gramEnd"/>
      <w:r>
        <w:rPr>
          <w:highlight w:val="yellow"/>
        </w:rPr>
        <w:t xml:space="preserve"> occupational therapy, physical therapy, or speech-language evaluation and treatment planning services must be performed by an enrolled Arkansas Medicaid provider that is licensed in the applicable service discipline.</w:t>
      </w:r>
    </w:p>
    <w:p w14:paraId="21BDEF73" w14:textId="77777777" w:rsidR="000F3FD3" w:rsidRDefault="000F3FD3" w:rsidP="000F3FD3">
      <w:pPr>
        <w:pStyle w:val="cnumbered"/>
        <w:rPr>
          <w:highlight w:val="yellow"/>
        </w:rPr>
      </w:pPr>
      <w:r>
        <w:rPr>
          <w:highlight w:val="yellow"/>
        </w:rPr>
        <w:t>4.</w:t>
      </w:r>
      <w:r>
        <w:rPr>
          <w:highlight w:val="yellow"/>
        </w:rPr>
        <w:tab/>
        <w:t>An individual treatment plan that includes occupational therapy, physical therapy, or speech-language pathology services must be signed by one of the following:</w:t>
      </w:r>
    </w:p>
    <w:p w14:paraId="0E97DCF8" w14:textId="77777777" w:rsidR="000F3FD3" w:rsidRDefault="000F3FD3" w:rsidP="000F3FD3">
      <w:pPr>
        <w:pStyle w:val="cletteredindent"/>
        <w:rPr>
          <w:highlight w:val="yellow"/>
        </w:rPr>
      </w:pPr>
      <w:r>
        <w:rPr>
          <w:highlight w:val="yellow"/>
        </w:rPr>
        <w:t>a.</w:t>
      </w:r>
      <w:r>
        <w:rPr>
          <w:highlight w:val="yellow"/>
        </w:rPr>
        <w:tab/>
        <w:t>The licensed practitioner that conducted the evaluation and treatment planning for the service discipline; or</w:t>
      </w:r>
    </w:p>
    <w:p w14:paraId="7304CB2D" w14:textId="77777777" w:rsidR="000F3FD3" w:rsidRDefault="000F3FD3" w:rsidP="000F3FD3">
      <w:pPr>
        <w:pStyle w:val="cletteredindent"/>
        <w:rPr>
          <w:highlight w:val="yellow"/>
        </w:rPr>
      </w:pPr>
      <w:r>
        <w:rPr>
          <w:highlight w:val="yellow"/>
        </w:rPr>
        <w:t xml:space="preserve">b. </w:t>
      </w:r>
      <w:r>
        <w:rPr>
          <w:highlight w:val="yellow"/>
        </w:rPr>
        <w:tab/>
        <w:t>The prescribing PCP or licensed attending physician.</w:t>
      </w:r>
    </w:p>
    <w:p w14:paraId="19F384EF" w14:textId="77777777" w:rsidR="000F3FD3" w:rsidRDefault="000F3FD3" w:rsidP="000F3FD3">
      <w:pPr>
        <w:pStyle w:val="cnumbered"/>
        <w:rPr>
          <w:highlight w:val="yellow"/>
        </w:rPr>
      </w:pPr>
      <w:r>
        <w:rPr>
          <w:highlight w:val="yellow"/>
        </w:rPr>
        <w:t>5.</w:t>
      </w:r>
      <w:r>
        <w:rPr>
          <w:highlight w:val="yellow"/>
        </w:rPr>
        <w:tab/>
        <w:t>Occupational therapy, physical therapy, and speech-language pathology evaluation and treatment planning services are reimbursed on a per unit basis.</w:t>
      </w:r>
    </w:p>
    <w:p w14:paraId="2E3F7F32" w14:textId="77777777" w:rsidR="000F3FD3" w:rsidRDefault="000F3FD3" w:rsidP="000F3FD3">
      <w:pPr>
        <w:pStyle w:val="cletteredindent"/>
        <w:rPr>
          <w:highlight w:val="yellow"/>
        </w:rPr>
      </w:pPr>
      <w:r>
        <w:rPr>
          <w:highlight w:val="yellow"/>
        </w:rPr>
        <w:t>a.</w:t>
      </w:r>
      <w:r>
        <w:rPr>
          <w:highlight w:val="yellow"/>
        </w:rPr>
        <w:tab/>
        <w:t>The billable unit includes time spent for clinical observation, administering and scoring a standardized evaluation, administering supplemental tests and tools, writing an evaluation report and comprehensive assessment, and developing the individual treatment plan.</w:t>
      </w:r>
    </w:p>
    <w:p w14:paraId="54FF67BF" w14:textId="77777777" w:rsidR="000F3FD3" w:rsidRDefault="000F3FD3" w:rsidP="000F3FD3">
      <w:pPr>
        <w:pStyle w:val="cletteredindent"/>
        <w:rPr>
          <w:highlight w:val="yellow"/>
        </w:rPr>
      </w:pPr>
      <w:r>
        <w:rPr>
          <w:highlight w:val="yellow"/>
        </w:rPr>
        <w:t>b.</w:t>
      </w:r>
      <w:r>
        <w:rPr>
          <w:highlight w:val="yellow"/>
        </w:rPr>
        <w:tab/>
      </w:r>
      <w:hyperlink r:id="rId11" w:history="1">
        <w:r>
          <w:rPr>
            <w:rStyle w:val="Hyperlink"/>
            <w:highlight w:val="yellow"/>
          </w:rPr>
          <w:t>View or print the billable Occupational Therapy, Physical Therapy, and Speech-language Pathology evaluation and treatment planning services procedure codes and descriptions</w:t>
        </w:r>
      </w:hyperlink>
      <w:r>
        <w:rPr>
          <w:highlight w:val="yellow"/>
        </w:rPr>
        <w:t>.</w:t>
      </w:r>
    </w:p>
    <w:p w14:paraId="653BE845" w14:textId="77777777" w:rsidR="000F3FD3" w:rsidRDefault="000F3FD3" w:rsidP="000F3FD3">
      <w:pPr>
        <w:pStyle w:val="CLETTERED"/>
        <w:rPr>
          <w:highlight w:val="yellow"/>
        </w:rPr>
      </w:pPr>
      <w:r>
        <w:rPr>
          <w:highlight w:val="yellow"/>
        </w:rPr>
        <w:t>B.</w:t>
      </w:r>
      <w:r>
        <w:rPr>
          <w:highlight w:val="yellow"/>
        </w:rPr>
        <w:tab/>
        <w:t>An ADDT provider may be reimbursed for medically necessary occupational therapy, physical therapy, and speech-language pathology treatment services.</w:t>
      </w:r>
    </w:p>
    <w:p w14:paraId="464A8FC2" w14:textId="77777777" w:rsidR="000F3FD3" w:rsidRDefault="000F3FD3" w:rsidP="000F3FD3">
      <w:pPr>
        <w:pStyle w:val="cnumbered"/>
        <w:rPr>
          <w:highlight w:val="yellow"/>
        </w:rPr>
      </w:pPr>
      <w:r>
        <w:rPr>
          <w:highlight w:val="yellow"/>
        </w:rPr>
        <w:t>1.</w:t>
      </w:r>
      <w:r>
        <w:rPr>
          <w:highlight w:val="yellow"/>
        </w:rPr>
        <w:tab/>
      </w:r>
      <w:r>
        <w:t>Occupational</w:t>
      </w:r>
      <w:r>
        <w:rPr>
          <w:highlight w:val="yellow"/>
        </w:rPr>
        <w:t xml:space="preserve"> therapy</w:t>
      </w:r>
      <w:r>
        <w:t>, physical</w:t>
      </w:r>
      <w:r>
        <w:rPr>
          <w:highlight w:val="yellow"/>
        </w:rPr>
        <w:t xml:space="preserve"> therapy</w:t>
      </w:r>
      <w:r>
        <w:t xml:space="preserve">, and speech-language </w:t>
      </w:r>
      <w:r>
        <w:rPr>
          <w:highlight w:val="yellow"/>
        </w:rPr>
        <w:t>pathology treatment</w:t>
      </w:r>
      <w:r>
        <w:t xml:space="preserve"> services </w:t>
      </w:r>
      <w:r>
        <w:rPr>
          <w:highlight w:val="yellow"/>
        </w:rPr>
        <w:t xml:space="preserve">require a written prescription meeting the requirements of Section 212.300 of </w:t>
      </w:r>
      <w:r>
        <w:t>the Occupational</w:t>
      </w:r>
      <w:r>
        <w:rPr>
          <w:highlight w:val="yellow"/>
        </w:rPr>
        <w:t xml:space="preserve"> Therapy</w:t>
      </w:r>
      <w:r>
        <w:t>, Physical</w:t>
      </w:r>
      <w:r>
        <w:rPr>
          <w:highlight w:val="yellow"/>
        </w:rPr>
        <w:t xml:space="preserve"> Therapy</w:t>
      </w:r>
      <w:r>
        <w:t xml:space="preserve">, and Speech-Language </w:t>
      </w:r>
      <w:r>
        <w:rPr>
          <w:highlight w:val="yellow"/>
        </w:rPr>
        <w:t xml:space="preserve">Pathology </w:t>
      </w:r>
      <w:r>
        <w:t>Services</w:t>
      </w:r>
      <w:r>
        <w:rPr>
          <w:highlight w:val="yellow"/>
        </w:rPr>
        <w:t xml:space="preserve"> Medicaid manual</w:t>
      </w:r>
      <w:r>
        <w:t>.</w:t>
      </w:r>
    </w:p>
    <w:p w14:paraId="3579E682" w14:textId="77777777" w:rsidR="000F3FD3" w:rsidRDefault="000F3FD3" w:rsidP="000F3FD3">
      <w:pPr>
        <w:pStyle w:val="cnumbered"/>
        <w:rPr>
          <w:highlight w:val="yellow"/>
        </w:rPr>
      </w:pPr>
      <w:r>
        <w:rPr>
          <w:highlight w:val="yellow"/>
        </w:rPr>
        <w:t>2.</w:t>
      </w:r>
      <w:r>
        <w:rPr>
          <w:highlight w:val="yellow"/>
        </w:rPr>
        <w:tab/>
        <w:t>A prescription for occupational therapy, physical therapy, or speech-language pathology services is valid for the shorter of the length of time specified on the prescription or one (1) year.</w:t>
      </w:r>
    </w:p>
    <w:p w14:paraId="208CEBAF" w14:textId="77777777" w:rsidR="000F3FD3" w:rsidRDefault="000F3FD3" w:rsidP="000F3FD3">
      <w:pPr>
        <w:pStyle w:val="cnumbered"/>
        <w:rPr>
          <w:highlight w:val="yellow"/>
        </w:rPr>
      </w:pPr>
      <w:r>
        <w:rPr>
          <w:highlight w:val="yellow"/>
        </w:rPr>
        <w:t>3.</w:t>
      </w:r>
      <w:r>
        <w:rPr>
          <w:highlight w:val="yellow"/>
        </w:rPr>
        <w:tab/>
        <w:t>Occupational therapy, physical therapy, and speech-language pathology treatment services must be medically necessary as demonstrated by the results of a comprehensive assessment.</w:t>
      </w:r>
    </w:p>
    <w:p w14:paraId="593A65F9" w14:textId="77777777" w:rsidR="000F3FD3" w:rsidRDefault="000F3FD3" w:rsidP="000F3FD3">
      <w:pPr>
        <w:pStyle w:val="CLETTERED"/>
        <w:spacing w:before="0" w:after="0"/>
        <w:ind w:left="2160" w:hanging="547"/>
        <w:rPr>
          <w:highlight w:val="yellow"/>
        </w:rPr>
      </w:pPr>
      <w:r>
        <w:rPr>
          <w:highlight w:val="yellow"/>
        </w:rPr>
        <w:t>a.</w:t>
      </w:r>
      <w:r>
        <w:rPr>
          <w:highlight w:val="yellow"/>
        </w:rPr>
        <w:tab/>
        <w:t>The comprehensive assessment must meet the requirements of Sections 212.400, 212.410, and 212.420 of Section II of the Occupational Therapy, Physical Therapy, and Speech-Language Pathology Services Medicaid manual.</w:t>
      </w:r>
    </w:p>
    <w:p w14:paraId="3066F3A6" w14:textId="77777777" w:rsidR="000F3FD3" w:rsidRDefault="000F3FD3" w:rsidP="000F3FD3">
      <w:pPr>
        <w:pStyle w:val="CLETTERED"/>
        <w:spacing w:before="0" w:after="0"/>
        <w:ind w:left="2160" w:hanging="547"/>
        <w:rPr>
          <w:highlight w:val="yellow"/>
        </w:rPr>
      </w:pPr>
      <w:r>
        <w:rPr>
          <w:highlight w:val="yellow"/>
        </w:rPr>
        <w:t>b.</w:t>
      </w:r>
      <w:r>
        <w:rPr>
          <w:highlight w:val="yellow"/>
        </w:rPr>
        <w:tab/>
        <w:t xml:space="preserve">A comprehensive assessment used to establish a client’s eligibility for occupational therapy, physical therapy, and speech-language pathology treatment services must include the administration of a standardized evaluation meeting the requirements of Sections 212.500, 212.510, and 212.520 </w:t>
      </w:r>
      <w:bookmarkStart w:id="63" w:name="_Hlk95316724"/>
      <w:r>
        <w:rPr>
          <w:highlight w:val="yellow"/>
        </w:rPr>
        <w:t>of Section II of the Occupational Therapy, Physical Therapy, and Speech-Language Pathology Services</w:t>
      </w:r>
      <w:bookmarkEnd w:id="63"/>
      <w:r>
        <w:rPr>
          <w:highlight w:val="yellow"/>
        </w:rPr>
        <w:t xml:space="preserve"> Medicaid manual.</w:t>
      </w:r>
    </w:p>
    <w:p w14:paraId="789DFA3F" w14:textId="77777777" w:rsidR="000F3FD3" w:rsidRDefault="000F3FD3" w:rsidP="000F3FD3">
      <w:pPr>
        <w:pStyle w:val="cnumbered"/>
        <w:rPr>
          <w:highlight w:val="yellow"/>
        </w:rPr>
      </w:pPr>
      <w:r>
        <w:rPr>
          <w:highlight w:val="yellow"/>
        </w:rPr>
        <w:t>4.</w:t>
      </w:r>
      <w:r>
        <w:rPr>
          <w:highlight w:val="yellow"/>
        </w:rPr>
        <w:tab/>
        <w:t>Occupational therapy, physical therapy, and speech-language pathology treatment services are reimbursed on a per unit basis and each discipline is covered up to six (6) units per week without authorization.</w:t>
      </w:r>
    </w:p>
    <w:p w14:paraId="5F964602" w14:textId="77777777" w:rsidR="000F3FD3" w:rsidRDefault="000F3FD3" w:rsidP="000F3FD3">
      <w:pPr>
        <w:pStyle w:val="cletteredindent"/>
        <w:rPr>
          <w:highlight w:val="yellow"/>
        </w:rPr>
      </w:pPr>
      <w:r>
        <w:rPr>
          <w:highlight w:val="yellow"/>
        </w:rPr>
        <w:t>a.</w:t>
      </w:r>
      <w:r>
        <w:rPr>
          <w:highlight w:val="yellow"/>
        </w:rPr>
        <w:tab/>
        <w:t xml:space="preserve">See Section 216.000 of Section II of the Occupational Therapy, Physical Therapy, and Speech-Language Pathology Services Medicaid manual </w:t>
      </w:r>
      <w:r>
        <w:rPr>
          <w:highlight w:val="yellow"/>
        </w:rPr>
        <w:lastRenderedPageBreak/>
        <w:t xml:space="preserve">regarding requests for an extension of benefits to be reimbursed for more than six (6) units of services in a single discipline per week. </w:t>
      </w:r>
    </w:p>
    <w:p w14:paraId="2308B623" w14:textId="77777777" w:rsidR="000F3FD3" w:rsidRDefault="000F3FD3" w:rsidP="002B0519">
      <w:pPr>
        <w:pStyle w:val="cletteredindent"/>
      </w:pPr>
      <w:r>
        <w:rPr>
          <w:highlight w:val="yellow"/>
        </w:rPr>
        <w:t>b.</w:t>
      </w:r>
      <w:r>
        <w:rPr>
          <w:highlight w:val="yellow"/>
        </w:rPr>
        <w:tab/>
      </w:r>
      <w:hyperlink r:id="rId12" w:history="1">
        <w:r>
          <w:rPr>
            <w:rStyle w:val="Hyperlink"/>
            <w:highlight w:val="yellow"/>
          </w:rPr>
          <w:t>View or print the billable occupational therapy, physical therapy, and speech-language pathology treatment procedure codes and descriptions</w:t>
        </w:r>
        <w:r>
          <w:rPr>
            <w:rStyle w:val="Hyperlink"/>
            <w:noProof/>
            <w:highlight w:val="yellow"/>
          </w:rPr>
          <w:t>.</w:t>
        </w:r>
      </w:hyperlink>
    </w:p>
    <w:p w14:paraId="20401669" w14:textId="77777777" w:rsidR="000F3FD3" w:rsidRDefault="000F3FD3" w:rsidP="000F3FD3">
      <w:pPr>
        <w:pStyle w:val="CLETTERED"/>
        <w:rPr>
          <w:highlight w:val="yellow"/>
        </w:rPr>
      </w:pPr>
      <w:r>
        <w:rPr>
          <w:highlight w:val="yellow"/>
        </w:rPr>
        <w:t>C</w:t>
      </w:r>
      <w:r>
        <w:t>.</w:t>
      </w:r>
      <w:r>
        <w:tab/>
        <w:t xml:space="preserve">An ADDT </w:t>
      </w:r>
      <w:r>
        <w:rPr>
          <w:highlight w:val="yellow"/>
        </w:rPr>
        <w:t xml:space="preserve">provider </w:t>
      </w:r>
      <w:r>
        <w:t>m</w:t>
      </w:r>
      <w:r>
        <w:rPr>
          <w:highlight w:val="yellow"/>
        </w:rPr>
        <w:t>ust</w:t>
      </w:r>
      <w:r>
        <w:t xml:space="preserve"> contract with or employ its qualified occupational</w:t>
      </w:r>
      <w:r>
        <w:rPr>
          <w:highlight w:val="yellow"/>
        </w:rPr>
        <w:t xml:space="preserve"> therapy</w:t>
      </w:r>
      <w:r>
        <w:t>, physical</w:t>
      </w:r>
      <w:r>
        <w:rPr>
          <w:highlight w:val="yellow"/>
        </w:rPr>
        <w:t xml:space="preserve"> therapy</w:t>
      </w:r>
      <w:r>
        <w:t xml:space="preserve">, and speech-language </w:t>
      </w:r>
      <w:r>
        <w:rPr>
          <w:highlight w:val="yellow"/>
        </w:rPr>
        <w:t xml:space="preserve">pathology </w:t>
      </w:r>
      <w:r>
        <w:t>practitioners.</w:t>
      </w:r>
    </w:p>
    <w:p w14:paraId="55A88EBD" w14:textId="77777777" w:rsidR="000F3FD3" w:rsidRDefault="000F3FD3" w:rsidP="000F3FD3">
      <w:pPr>
        <w:pStyle w:val="cnumbered"/>
        <w:rPr>
          <w:highlight w:val="yellow"/>
        </w:rPr>
      </w:pPr>
      <w:r>
        <w:rPr>
          <w:highlight w:val="yellow"/>
        </w:rPr>
        <w:t>1.</w:t>
      </w:r>
      <w:r>
        <w:rPr>
          <w:highlight w:val="yellow"/>
        </w:rPr>
        <w:tab/>
      </w:r>
      <w:r>
        <w:t xml:space="preserve">The ADDT </w:t>
      </w:r>
      <w:r>
        <w:rPr>
          <w:highlight w:val="yellow"/>
        </w:rPr>
        <w:t xml:space="preserve">provider </w:t>
      </w:r>
      <w:r>
        <w:t xml:space="preserve">must identify the </w:t>
      </w:r>
      <w:r>
        <w:rPr>
          <w:highlight w:val="yellow"/>
        </w:rPr>
        <w:t>licensed</w:t>
      </w:r>
      <w:r>
        <w:t xml:space="preserve"> practitioner as the performing provider on the claim when </w:t>
      </w:r>
      <w:r>
        <w:rPr>
          <w:highlight w:val="yellow"/>
        </w:rPr>
        <w:t xml:space="preserve">billing </w:t>
      </w:r>
      <w:r>
        <w:t>for the service.</w:t>
      </w:r>
    </w:p>
    <w:p w14:paraId="3E78C546" w14:textId="77777777" w:rsidR="00593161" w:rsidRPr="00C90D20" w:rsidRDefault="000F3FD3" w:rsidP="000F3FD3">
      <w:pPr>
        <w:pStyle w:val="cnumbered"/>
      </w:pPr>
      <w:r>
        <w:rPr>
          <w:highlight w:val="yellow"/>
        </w:rPr>
        <w:t>2.</w:t>
      </w:r>
      <w:r>
        <w:rPr>
          <w:highlight w:val="yellow"/>
        </w:rPr>
        <w:tab/>
      </w:r>
      <w:r>
        <w:t xml:space="preserve">The </w:t>
      </w:r>
      <w:r>
        <w:rPr>
          <w:highlight w:val="yellow"/>
        </w:rPr>
        <w:t>licensed</w:t>
      </w:r>
      <w:r>
        <w:t xml:space="preserve"> practitioner must be </w:t>
      </w:r>
      <w:r>
        <w:rPr>
          <w:highlight w:val="yellow"/>
        </w:rPr>
        <w:t xml:space="preserve">an </w:t>
      </w:r>
      <w:r>
        <w:t xml:space="preserve">enrolled Arkansas Medicaid </w:t>
      </w:r>
      <w:proofErr w:type="gramStart"/>
      <w:r>
        <w:rPr>
          <w:highlight w:val="yellow"/>
        </w:rPr>
        <w:t>provider</w:t>
      </w:r>
      <w:proofErr w:type="gramEnd"/>
      <w:r>
        <w:rPr>
          <w:highlight w:val="yellow"/>
        </w:rPr>
        <w:t xml:space="preserve"> </w:t>
      </w:r>
      <w:r>
        <w:t>and the group provider</w:t>
      </w:r>
      <w:r>
        <w:rPr>
          <w:highlight w:val="yellow"/>
        </w:rPr>
        <w:t xml:space="preserve"> requirements</w:t>
      </w:r>
      <w:r>
        <w:t xml:space="preserve"> of Section 201.</w:t>
      </w:r>
      <w:r>
        <w:rPr>
          <w:highlight w:val="yellow"/>
        </w:rPr>
        <w:t xml:space="preserve">200 </w:t>
      </w:r>
      <w:r>
        <w:t xml:space="preserve">of </w:t>
      </w:r>
      <w:r>
        <w:rPr>
          <w:highlight w:val="yellow"/>
        </w:rPr>
        <w:t xml:space="preserve">Section II of the </w:t>
      </w:r>
      <w:r>
        <w:t>Occupational</w:t>
      </w:r>
      <w:r>
        <w:rPr>
          <w:highlight w:val="yellow"/>
        </w:rPr>
        <w:t xml:space="preserve"> Therapy</w:t>
      </w:r>
      <w:r>
        <w:t>, Physical</w:t>
      </w:r>
      <w:r>
        <w:rPr>
          <w:highlight w:val="yellow"/>
        </w:rPr>
        <w:t xml:space="preserve"> Therapy</w:t>
      </w:r>
      <w:r>
        <w:t xml:space="preserve">, and Speech-Language </w:t>
      </w:r>
      <w:r>
        <w:rPr>
          <w:highlight w:val="yellow"/>
        </w:rPr>
        <w:t xml:space="preserve">Pathology </w:t>
      </w:r>
      <w:r>
        <w:t xml:space="preserve">Services </w:t>
      </w:r>
      <w:r>
        <w:rPr>
          <w:highlight w:val="yellow"/>
        </w:rPr>
        <w:t xml:space="preserve">Medicaid </w:t>
      </w:r>
      <w:r>
        <w:t>manual</w:t>
      </w:r>
      <w:r>
        <w:rPr>
          <w:highlight w:val="yellow"/>
        </w:rPr>
        <w:t xml:space="preserve"> must be met</w:t>
      </w:r>
      <w: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593161" w:rsidRPr="00C90D20" w14:paraId="30049F9B" w14:textId="77777777" w:rsidTr="00593161">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A34D563" w14:textId="77777777" w:rsidR="00593161" w:rsidRPr="00C90D20" w:rsidRDefault="00593161">
            <w:pPr>
              <w:pStyle w:val="chead2"/>
            </w:pPr>
            <w:bookmarkStart w:id="64" w:name="_Toc199342368"/>
            <w:r w:rsidRPr="00C90D20">
              <w:t>214.220</w:t>
            </w:r>
            <w:r w:rsidRPr="00C90D20">
              <w:tab/>
              <w:t>Nursing Services</w:t>
            </w:r>
            <w:bookmarkEnd w:id="64"/>
          </w:p>
        </w:tc>
        <w:tc>
          <w:tcPr>
            <w:tcW w:w="1238" w:type="dxa"/>
            <w:tcBorders>
              <w:top w:val="single" w:sz="2" w:space="0" w:color="FFFFFF"/>
              <w:left w:val="single" w:sz="6" w:space="0" w:color="FFFFFF"/>
              <w:bottom w:val="single" w:sz="2" w:space="0" w:color="FFFFFF"/>
              <w:right w:val="single" w:sz="2" w:space="0" w:color="FFFFFF"/>
            </w:tcBorders>
            <w:hideMark/>
          </w:tcPr>
          <w:p w14:paraId="17EB1155" w14:textId="77777777" w:rsidR="00593161" w:rsidRPr="00C90D20" w:rsidRDefault="00F249D9">
            <w:pPr>
              <w:pStyle w:val="cDate2"/>
            </w:pPr>
            <w:r>
              <w:t>8-1-22</w:t>
            </w:r>
          </w:p>
        </w:tc>
      </w:tr>
    </w:tbl>
    <w:bookmarkEnd w:id="61"/>
    <w:p w14:paraId="3C6BB9DA" w14:textId="77777777" w:rsidR="00F249D9" w:rsidRDefault="00F249D9" w:rsidP="00F249D9">
      <w:pPr>
        <w:pStyle w:val="CLETTERED"/>
        <w:rPr>
          <w:highlight w:val="yellow"/>
        </w:rPr>
      </w:pPr>
      <w:r>
        <w:t>A.</w:t>
      </w:r>
      <w:r>
        <w:tab/>
      </w:r>
      <w:bookmarkStart w:id="65" w:name="_Hlk43729936"/>
      <w:bookmarkStart w:id="66" w:name="_Hlk43733109"/>
      <w:r>
        <w:t xml:space="preserve">An ADDT </w:t>
      </w:r>
      <w:r>
        <w:rPr>
          <w:highlight w:val="yellow"/>
        </w:rPr>
        <w:t xml:space="preserve">provider </w:t>
      </w:r>
      <w:r>
        <w:t xml:space="preserve">may be reimbursed for medically necessary </w:t>
      </w:r>
      <w:bookmarkEnd w:id="65"/>
      <w:r>
        <w:t>nursing services.</w:t>
      </w:r>
    </w:p>
    <w:p w14:paraId="0BC5B10C" w14:textId="77777777" w:rsidR="00F249D9" w:rsidRDefault="00F249D9" w:rsidP="00F249D9">
      <w:pPr>
        <w:pStyle w:val="cnumbered"/>
        <w:rPr>
          <w:highlight w:val="yellow"/>
        </w:rPr>
      </w:pPr>
      <w:r>
        <w:rPr>
          <w:highlight w:val="yellow"/>
        </w:rPr>
        <w:t>1.</w:t>
      </w:r>
      <w:r>
        <w:rPr>
          <w:highlight w:val="yellow"/>
        </w:rPr>
        <w:tab/>
      </w:r>
      <w:r>
        <w:t xml:space="preserve">Medical necessity for nursing services is established by a medical diagnosis and a comprehensive nursing evaluation approved by the </w:t>
      </w:r>
      <w:bookmarkStart w:id="67" w:name="_Hlk98402031"/>
      <w:r>
        <w:rPr>
          <w:highlight w:val="yellow"/>
        </w:rPr>
        <w:t>client’s primary care provider (PCP) or attending licensed</w:t>
      </w:r>
      <w:bookmarkEnd w:id="67"/>
      <w:r>
        <w:rPr>
          <w:highlight w:val="yellow"/>
        </w:rPr>
        <w:t xml:space="preserve"> </w:t>
      </w:r>
      <w:r>
        <w:t xml:space="preserve">physician </w:t>
      </w:r>
      <w:r>
        <w:rPr>
          <w:highlight w:val="yellow"/>
        </w:rPr>
        <w:t>who prescribed</w:t>
      </w:r>
      <w:r>
        <w:t xml:space="preserve"> the ADDT services.</w:t>
      </w:r>
    </w:p>
    <w:p w14:paraId="3A25CC76" w14:textId="77777777" w:rsidR="00F249D9" w:rsidRDefault="00F249D9" w:rsidP="00F249D9">
      <w:pPr>
        <w:pStyle w:val="cnumbered"/>
        <w:rPr>
          <w:highlight w:val="yellow"/>
        </w:rPr>
      </w:pPr>
      <w:r>
        <w:rPr>
          <w:highlight w:val="yellow"/>
        </w:rPr>
        <w:t>2.</w:t>
      </w:r>
      <w:r>
        <w:rPr>
          <w:highlight w:val="yellow"/>
        </w:rPr>
        <w:tab/>
      </w:r>
      <w:r>
        <w:t xml:space="preserve">The </w:t>
      </w:r>
      <w:r>
        <w:rPr>
          <w:highlight w:val="yellow"/>
        </w:rPr>
        <w:t xml:space="preserve">nursing </w:t>
      </w:r>
      <w:r>
        <w:t>evaluation must specify the required nursing services</w:t>
      </w:r>
      <w:r>
        <w:rPr>
          <w:highlight w:val="yellow"/>
        </w:rPr>
        <w:t>.</w:t>
      </w:r>
    </w:p>
    <w:p w14:paraId="5721A00F" w14:textId="77777777" w:rsidR="00F249D9" w:rsidRDefault="00F249D9" w:rsidP="00F249D9">
      <w:pPr>
        <w:pStyle w:val="cnumbered"/>
      </w:pPr>
      <w:r>
        <w:rPr>
          <w:highlight w:val="yellow"/>
        </w:rPr>
        <w:t>3.</w:t>
      </w:r>
      <w:r>
        <w:rPr>
          <w:highlight w:val="yellow"/>
        </w:rPr>
        <w:tab/>
        <w:t>T</w:t>
      </w:r>
      <w:r>
        <w:t xml:space="preserve">he </w:t>
      </w:r>
      <w:r>
        <w:rPr>
          <w:highlight w:val="yellow"/>
        </w:rPr>
        <w:t xml:space="preserve">client’s PCP or attending licensed </w:t>
      </w:r>
      <w:r>
        <w:t xml:space="preserve">physician must prescribe the </w:t>
      </w:r>
      <w:r>
        <w:rPr>
          <w:highlight w:val="yellow"/>
        </w:rPr>
        <w:t xml:space="preserve">specific </w:t>
      </w:r>
      <w:r>
        <w:t xml:space="preserve">number of </w:t>
      </w:r>
      <w:r>
        <w:rPr>
          <w:highlight w:val="yellow"/>
        </w:rPr>
        <w:t xml:space="preserve">medically necessary </w:t>
      </w:r>
      <w:r>
        <w:t>nursing service units per day.</w:t>
      </w:r>
      <w:bookmarkEnd w:id="66"/>
    </w:p>
    <w:p w14:paraId="40064D72" w14:textId="77777777" w:rsidR="00F249D9" w:rsidRDefault="00F249D9" w:rsidP="00F249D9">
      <w:pPr>
        <w:pStyle w:val="CLETTERED"/>
        <w:rPr>
          <w:highlight w:val="yellow"/>
        </w:rPr>
      </w:pPr>
      <w:r>
        <w:t>B.</w:t>
      </w:r>
      <w:r>
        <w:tab/>
        <w:t>ADDT nursing services must be</w:t>
      </w:r>
      <w:r>
        <w:rPr>
          <w:highlight w:val="yellow"/>
        </w:rPr>
        <w:t>:</w:t>
      </w:r>
    </w:p>
    <w:p w14:paraId="4CD5DAC4" w14:textId="77777777" w:rsidR="00F249D9" w:rsidRDefault="00F249D9" w:rsidP="00F249D9">
      <w:pPr>
        <w:pStyle w:val="cnumbered"/>
        <w:rPr>
          <w:highlight w:val="yellow"/>
        </w:rPr>
      </w:pPr>
      <w:r>
        <w:rPr>
          <w:highlight w:val="yellow"/>
        </w:rPr>
        <w:t>1.</w:t>
      </w:r>
      <w:r>
        <w:rPr>
          <w:highlight w:val="yellow"/>
        </w:rPr>
        <w:tab/>
        <w:t>P</w:t>
      </w:r>
      <w:r>
        <w:t xml:space="preserve">erformed by a licensed </w:t>
      </w:r>
      <w:r>
        <w:rPr>
          <w:highlight w:val="yellow"/>
        </w:rPr>
        <w:t>r</w:t>
      </w:r>
      <w:r>
        <w:t xml:space="preserve">egistered </w:t>
      </w:r>
      <w:r>
        <w:rPr>
          <w:highlight w:val="yellow"/>
        </w:rPr>
        <w:t>n</w:t>
      </w:r>
      <w:r>
        <w:t xml:space="preserve">urse or </w:t>
      </w:r>
      <w:r>
        <w:rPr>
          <w:highlight w:val="yellow"/>
        </w:rPr>
        <w:t>l</w:t>
      </w:r>
      <w:r>
        <w:t xml:space="preserve">icensed </w:t>
      </w:r>
      <w:r>
        <w:rPr>
          <w:highlight w:val="yellow"/>
        </w:rPr>
        <w:t>p</w:t>
      </w:r>
      <w:r>
        <w:t xml:space="preserve">ractical </w:t>
      </w:r>
      <w:r>
        <w:rPr>
          <w:highlight w:val="yellow"/>
        </w:rPr>
        <w:t>n</w:t>
      </w:r>
      <w:r>
        <w:t>urse</w:t>
      </w:r>
      <w:r>
        <w:rPr>
          <w:highlight w:val="yellow"/>
        </w:rPr>
        <w:t>;</w:t>
      </w:r>
      <w:r>
        <w:t xml:space="preserve"> and </w:t>
      </w:r>
    </w:p>
    <w:p w14:paraId="43366E90" w14:textId="77777777" w:rsidR="00F249D9" w:rsidRDefault="00F249D9" w:rsidP="00F249D9">
      <w:pPr>
        <w:pStyle w:val="cnumbered"/>
      </w:pPr>
      <w:r>
        <w:rPr>
          <w:highlight w:val="yellow"/>
        </w:rPr>
        <w:t>2.</w:t>
      </w:r>
      <w:r>
        <w:rPr>
          <w:highlight w:val="yellow"/>
        </w:rPr>
        <w:tab/>
        <w:t>W</w:t>
      </w:r>
      <w:r>
        <w:t xml:space="preserve">ithin the </w:t>
      </w:r>
      <w:r>
        <w:rPr>
          <w:highlight w:val="yellow"/>
        </w:rPr>
        <w:t xml:space="preserve">performing </w:t>
      </w:r>
      <w:r>
        <w:t>nurse’s scope of practice as set forth by the Arkansas State Board of Nursing.</w:t>
      </w:r>
    </w:p>
    <w:p w14:paraId="1A3C7098" w14:textId="77777777" w:rsidR="00F249D9" w:rsidRDefault="00F249D9" w:rsidP="00F249D9">
      <w:pPr>
        <w:pStyle w:val="CLETTERED"/>
      </w:pPr>
      <w:bookmarkStart w:id="68" w:name="_Hlk43733508"/>
      <w:r>
        <w:t>C.</w:t>
      </w:r>
      <w:r>
        <w:tab/>
        <w:t>For the purposes of this manual, ADDT nursing services are defined as the following, or similar, activities</w:t>
      </w:r>
      <w:bookmarkEnd w:id="68"/>
      <w:r>
        <w:t>:</w:t>
      </w:r>
    </w:p>
    <w:p w14:paraId="1BB82860" w14:textId="77777777" w:rsidR="00F249D9" w:rsidRDefault="00F249D9" w:rsidP="00F249D9">
      <w:pPr>
        <w:pStyle w:val="cnumbered"/>
      </w:pPr>
      <w:r>
        <w:t>1.</w:t>
      </w:r>
      <w:r>
        <w:tab/>
        <w:t>Assisting ventilator</w:t>
      </w:r>
      <w:r>
        <w:rPr>
          <w:highlight w:val="yellow"/>
        </w:rPr>
        <w:t xml:space="preserve"> </w:t>
      </w:r>
      <w:r>
        <w:t xml:space="preserve">dependent </w:t>
      </w:r>
      <w:proofErr w:type="gramStart"/>
      <w:r>
        <w:rPr>
          <w:highlight w:val="yellow"/>
        </w:rPr>
        <w:t>client</w:t>
      </w:r>
      <w:r>
        <w:t>s;</w:t>
      </w:r>
      <w:proofErr w:type="gramEnd"/>
    </w:p>
    <w:p w14:paraId="02F1A459" w14:textId="77777777" w:rsidR="00F249D9" w:rsidRDefault="00F249D9" w:rsidP="00F249D9">
      <w:pPr>
        <w:pStyle w:val="cnumbered"/>
      </w:pPr>
      <w:r>
        <w:t>2.</w:t>
      </w:r>
      <w:r>
        <w:tab/>
        <w:t xml:space="preserve">Tracheostomy suctioning and </w:t>
      </w:r>
      <w:proofErr w:type="gramStart"/>
      <w:r>
        <w:t>care;</w:t>
      </w:r>
      <w:proofErr w:type="gramEnd"/>
    </w:p>
    <w:p w14:paraId="0B3AAA06" w14:textId="77777777" w:rsidR="00F249D9" w:rsidRDefault="00F249D9" w:rsidP="00F249D9">
      <w:pPr>
        <w:pStyle w:val="cnumbered"/>
      </w:pPr>
      <w:r>
        <w:t>3.</w:t>
      </w:r>
      <w:r>
        <w:tab/>
        <w:t xml:space="preserve">Feeding tube administration, care, and </w:t>
      </w:r>
      <w:proofErr w:type="gramStart"/>
      <w:r>
        <w:t>maintenance;</w:t>
      </w:r>
      <w:proofErr w:type="gramEnd"/>
    </w:p>
    <w:p w14:paraId="64996ACB" w14:textId="77777777" w:rsidR="00F249D9" w:rsidRDefault="00F249D9" w:rsidP="00F249D9">
      <w:pPr>
        <w:pStyle w:val="cnumbered"/>
      </w:pPr>
      <w:r>
        <w:t>4.</w:t>
      </w:r>
      <w:r>
        <w:tab/>
      </w:r>
      <w:proofErr w:type="gramStart"/>
      <w:r>
        <w:t>Catheterizations;</w:t>
      </w:r>
      <w:proofErr w:type="gramEnd"/>
    </w:p>
    <w:p w14:paraId="6CA2CA92" w14:textId="77777777" w:rsidR="00F249D9" w:rsidRDefault="00F249D9" w:rsidP="00F249D9">
      <w:pPr>
        <w:pStyle w:val="cnumbered"/>
      </w:pPr>
      <w:r>
        <w:t>5.</w:t>
      </w:r>
      <w:r>
        <w:tab/>
        <w:t xml:space="preserve">Breathing </w:t>
      </w:r>
      <w:proofErr w:type="gramStart"/>
      <w:r>
        <w:t>treatments;</w:t>
      </w:r>
      <w:proofErr w:type="gramEnd"/>
      <w:r>
        <w:t xml:space="preserve"> </w:t>
      </w:r>
    </w:p>
    <w:p w14:paraId="3C4235FB" w14:textId="77777777" w:rsidR="00F249D9" w:rsidRDefault="00F249D9" w:rsidP="00F249D9">
      <w:pPr>
        <w:pStyle w:val="cnumbered"/>
      </w:pPr>
      <w:r>
        <w:t>6.</w:t>
      </w:r>
      <w:r>
        <w:tab/>
        <w:t xml:space="preserve">Monitoring of vital statistics, including diabetes sugar checks, insulin, blood draws, and pulse </w:t>
      </w:r>
      <w:proofErr w:type="gramStart"/>
      <w:r>
        <w:t>ox;</w:t>
      </w:r>
      <w:proofErr w:type="gramEnd"/>
    </w:p>
    <w:p w14:paraId="531DAA3C" w14:textId="77777777" w:rsidR="00F249D9" w:rsidRDefault="00F249D9" w:rsidP="00F249D9">
      <w:pPr>
        <w:pStyle w:val="cnumbered"/>
        <w:rPr>
          <w:highlight w:val="yellow"/>
        </w:rPr>
      </w:pPr>
      <w:bookmarkStart w:id="69" w:name="_Hlk45627229"/>
      <w:r>
        <w:t>7.</w:t>
      </w:r>
      <w:r>
        <w:tab/>
        <w:t xml:space="preserve">Cecostomy tube administration, care, and </w:t>
      </w:r>
      <w:proofErr w:type="gramStart"/>
      <w:r>
        <w:t>maintenance;</w:t>
      </w:r>
      <w:bookmarkEnd w:id="69"/>
      <w:proofErr w:type="gramEnd"/>
    </w:p>
    <w:p w14:paraId="3418A7A6" w14:textId="77777777" w:rsidR="00F249D9" w:rsidRDefault="00F249D9" w:rsidP="00F249D9">
      <w:pPr>
        <w:pStyle w:val="cnumbered"/>
      </w:pPr>
      <w:r>
        <w:rPr>
          <w:highlight w:val="yellow"/>
        </w:rPr>
        <w:t>8.</w:t>
      </w:r>
      <w:r>
        <w:rPr>
          <w:highlight w:val="yellow"/>
        </w:rPr>
        <w:tab/>
        <w:t xml:space="preserve">Ileostomy tube administration, care, and maintenance; </w:t>
      </w:r>
      <w:r>
        <w:t>and</w:t>
      </w:r>
    </w:p>
    <w:p w14:paraId="30E45BB4" w14:textId="77777777" w:rsidR="00F249D9" w:rsidRDefault="00F249D9" w:rsidP="00F249D9">
      <w:pPr>
        <w:pStyle w:val="cnumbered"/>
      </w:pPr>
      <w:r>
        <w:rPr>
          <w:highlight w:val="yellow"/>
        </w:rPr>
        <w:t>9</w:t>
      </w:r>
      <w:r>
        <w:t>.</w:t>
      </w:r>
      <w:r>
        <w:tab/>
        <w:t>Administration of medication</w:t>
      </w:r>
      <w:bookmarkStart w:id="70" w:name="_Hlk43733636"/>
      <w:r>
        <w:rPr>
          <w:highlight w:val="yellow"/>
        </w:rPr>
        <w:t xml:space="preserve"> when</w:t>
      </w:r>
      <w:r>
        <w:t xml:space="preserve"> the administration of medication is </w:t>
      </w:r>
      <w:r>
        <w:rPr>
          <w:highlight w:val="yellow"/>
        </w:rPr>
        <w:t xml:space="preserve">not </w:t>
      </w:r>
      <w:r>
        <w:t xml:space="preserve">the </w:t>
      </w:r>
      <w:r>
        <w:rPr>
          <w:highlight w:val="yellow"/>
        </w:rPr>
        <w:t xml:space="preserve">client’s </w:t>
      </w:r>
      <w:r>
        <w:t xml:space="preserve">only </w:t>
      </w:r>
      <w:r>
        <w:rPr>
          <w:highlight w:val="yellow"/>
        </w:rPr>
        <w:t xml:space="preserve">medically necessary </w:t>
      </w:r>
      <w:r>
        <w:t>nursing service</w:t>
      </w:r>
      <w:bookmarkEnd w:id="70"/>
      <w:r>
        <w:t>.</w:t>
      </w:r>
    </w:p>
    <w:p w14:paraId="439EDE69" w14:textId="77777777" w:rsidR="00593161" w:rsidRDefault="00F249D9" w:rsidP="00F249D9">
      <w:pPr>
        <w:pStyle w:val="CLETTERED"/>
        <w:rPr>
          <w:noProof/>
        </w:rPr>
      </w:pPr>
      <w:r>
        <w:t>D.</w:t>
      </w:r>
      <w:r>
        <w:tab/>
      </w:r>
      <w:bookmarkStart w:id="71" w:name="_Hlk43733729"/>
      <w:r>
        <w:t xml:space="preserve">ADDT nursing services must be prior authorized and are reimbursed on a per unit basis.  </w:t>
      </w:r>
      <w:bookmarkStart w:id="72" w:name="_Hlk43733798"/>
      <w:bookmarkEnd w:id="71"/>
      <w:r>
        <w:t xml:space="preserve">Time spent taking a </w:t>
      </w:r>
      <w:r>
        <w:rPr>
          <w:highlight w:val="yellow"/>
        </w:rPr>
        <w:t>client</w:t>
      </w:r>
      <w:r>
        <w:t xml:space="preserve">’s temperature and performing other acts of standard first aid is not included in the units of </w:t>
      </w:r>
      <w:r>
        <w:rPr>
          <w:highlight w:val="yellow"/>
        </w:rPr>
        <w:t xml:space="preserve">an </w:t>
      </w:r>
      <w:r>
        <w:t xml:space="preserve">ADDT nursing service calculation.  </w:t>
      </w:r>
      <w:hyperlink r:id="rId13" w:history="1">
        <w:r>
          <w:rPr>
            <w:rStyle w:val="Hyperlink"/>
          </w:rPr>
          <w:t>View or print the billable ADDT nursing</w:t>
        </w:r>
        <w:r>
          <w:rPr>
            <w:rStyle w:val="Hyperlink"/>
            <w:highlight w:val="yellow"/>
          </w:rPr>
          <w:t xml:space="preserve"> services procedure</w:t>
        </w:r>
        <w:r>
          <w:rPr>
            <w:rStyle w:val="Hyperlink"/>
          </w:rPr>
          <w:t xml:space="preserve"> code</w:t>
        </w:r>
        <w:r>
          <w:rPr>
            <w:rStyle w:val="Hyperlink"/>
            <w:highlight w:val="yellow"/>
          </w:rPr>
          <w:t>s and description</w:t>
        </w:r>
        <w:r>
          <w:rPr>
            <w:rStyle w:val="Hyperlink"/>
          </w:rPr>
          <w:t>s</w:t>
        </w:r>
      </w:hyperlink>
      <w:r>
        <w:rPr>
          <w:noProof/>
        </w:rPr>
        <w:t>.</w:t>
      </w:r>
      <w:bookmarkEnd w:id="7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B7AD9" w14:paraId="5B72C469" w14:textId="77777777" w:rsidTr="007B7AD9">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0C729B4" w14:textId="77777777" w:rsidR="007B7AD9" w:rsidRDefault="007B7AD9">
            <w:pPr>
              <w:pStyle w:val="chead2"/>
              <w:rPr>
                <w:highlight w:val="yellow"/>
              </w:rPr>
            </w:pPr>
            <w:bookmarkStart w:id="73" w:name="_Hlk97275876"/>
            <w:bookmarkStart w:id="74" w:name="_Toc199342369"/>
            <w:r>
              <w:rPr>
                <w:highlight w:val="yellow"/>
              </w:rPr>
              <w:t>214.230</w:t>
            </w:r>
            <w:r>
              <w:rPr>
                <w:highlight w:val="yellow"/>
              </w:rPr>
              <w:tab/>
              <w:t>ADDT Transportation Services</w:t>
            </w:r>
            <w:bookmarkEnd w:id="74"/>
          </w:p>
        </w:tc>
        <w:tc>
          <w:tcPr>
            <w:tcW w:w="1238" w:type="dxa"/>
            <w:tcBorders>
              <w:top w:val="single" w:sz="2" w:space="0" w:color="FFFFFF"/>
              <w:left w:val="single" w:sz="6" w:space="0" w:color="FFFFFF"/>
              <w:bottom w:val="single" w:sz="2" w:space="0" w:color="FFFFFF"/>
              <w:right w:val="single" w:sz="2" w:space="0" w:color="FFFFFF"/>
            </w:tcBorders>
            <w:hideMark/>
          </w:tcPr>
          <w:p w14:paraId="3397A3C6" w14:textId="77777777" w:rsidR="007B7AD9" w:rsidRDefault="007B7AD9">
            <w:pPr>
              <w:pStyle w:val="cDate2"/>
              <w:rPr>
                <w:highlight w:val="yellow"/>
              </w:rPr>
            </w:pPr>
            <w:r>
              <w:rPr>
                <w:highlight w:val="yellow"/>
              </w:rPr>
              <w:t>8-1-22</w:t>
            </w:r>
          </w:p>
        </w:tc>
      </w:tr>
    </w:tbl>
    <w:p w14:paraId="5CE5D60C" w14:textId="77777777" w:rsidR="007B7AD9" w:rsidRDefault="007B7AD9" w:rsidP="007B7AD9">
      <w:pPr>
        <w:pStyle w:val="CLETTERED"/>
        <w:rPr>
          <w:highlight w:val="yellow"/>
        </w:rPr>
      </w:pPr>
      <w:r>
        <w:rPr>
          <w:highlight w:val="yellow"/>
        </w:rPr>
        <w:lastRenderedPageBreak/>
        <w:t>A.</w:t>
      </w:r>
      <w:r>
        <w:rPr>
          <w:highlight w:val="yellow"/>
        </w:rPr>
        <w:tab/>
        <w:t>An ADDT provider may be reimbursed for providing its clients with transportation services to and from its ADDT facility.</w:t>
      </w:r>
    </w:p>
    <w:p w14:paraId="78516565" w14:textId="77777777" w:rsidR="007B7AD9" w:rsidRDefault="007B7AD9" w:rsidP="007B7AD9">
      <w:pPr>
        <w:pStyle w:val="CLETTERED"/>
        <w:rPr>
          <w:highlight w:val="yellow"/>
        </w:rPr>
      </w:pPr>
      <w:r>
        <w:rPr>
          <w:highlight w:val="yellow"/>
        </w:rPr>
        <w:t>B.</w:t>
      </w:r>
      <w:r>
        <w:rPr>
          <w:highlight w:val="yellow"/>
        </w:rPr>
        <w:tab/>
        <w:t>ADDT transportation services are reimbursable if each of the following is met:</w:t>
      </w:r>
    </w:p>
    <w:p w14:paraId="65ABC821" w14:textId="77777777" w:rsidR="007B7AD9" w:rsidRDefault="007B7AD9" w:rsidP="007B7AD9">
      <w:pPr>
        <w:pStyle w:val="cnumbered"/>
        <w:rPr>
          <w:highlight w:val="yellow"/>
        </w:rPr>
      </w:pPr>
      <w:r>
        <w:rPr>
          <w:highlight w:val="yellow"/>
        </w:rPr>
        <w:t>1.</w:t>
      </w:r>
      <w:r>
        <w:rPr>
          <w:highlight w:val="yellow"/>
        </w:rPr>
        <w:tab/>
        <w:t xml:space="preserve">The transportation is provided by a licensed ADDT </w:t>
      </w:r>
      <w:proofErr w:type="gramStart"/>
      <w:r>
        <w:rPr>
          <w:highlight w:val="yellow"/>
        </w:rPr>
        <w:t>provider;</w:t>
      </w:r>
      <w:proofErr w:type="gramEnd"/>
    </w:p>
    <w:p w14:paraId="0A297E52" w14:textId="77777777" w:rsidR="007B7AD9" w:rsidRDefault="007B7AD9" w:rsidP="007B7AD9">
      <w:pPr>
        <w:pStyle w:val="cnumbered"/>
        <w:rPr>
          <w:highlight w:val="yellow"/>
        </w:rPr>
      </w:pPr>
      <w:r>
        <w:rPr>
          <w:highlight w:val="yellow"/>
        </w:rPr>
        <w:t>2.</w:t>
      </w:r>
      <w:r>
        <w:rPr>
          <w:highlight w:val="yellow"/>
        </w:rPr>
        <w:tab/>
        <w:t>The client transported is receiving ADDT services from the ADDT that is providing the ADDT transportation service; and</w:t>
      </w:r>
    </w:p>
    <w:p w14:paraId="74DFCB94" w14:textId="77777777" w:rsidR="007B7AD9" w:rsidRDefault="007B7AD9" w:rsidP="007B7AD9">
      <w:pPr>
        <w:pStyle w:val="cnumbered"/>
        <w:rPr>
          <w:highlight w:val="yellow"/>
        </w:rPr>
      </w:pPr>
      <w:r>
        <w:rPr>
          <w:highlight w:val="yellow"/>
        </w:rPr>
        <w:t>3.</w:t>
      </w:r>
      <w:r>
        <w:rPr>
          <w:highlight w:val="yellow"/>
        </w:rPr>
        <w:tab/>
        <w:t>The transportation is provided only to or from the ADDT provider’s facility.</w:t>
      </w:r>
    </w:p>
    <w:p w14:paraId="4891EB05" w14:textId="77777777" w:rsidR="007B7AD9" w:rsidRPr="007B7AD9" w:rsidRDefault="007B7AD9" w:rsidP="007B7AD9">
      <w:pPr>
        <w:pStyle w:val="CLETTERED"/>
        <w:rPr>
          <w:rStyle w:val="CLETTEREDChar"/>
        </w:rPr>
      </w:pPr>
      <w:r>
        <w:rPr>
          <w:highlight w:val="yellow"/>
        </w:rPr>
        <w:t>C.</w:t>
      </w:r>
      <w:r>
        <w:rPr>
          <w:highlight w:val="yellow"/>
        </w:rPr>
        <w:tab/>
        <w:t xml:space="preserve">ADDT transportation services are reimbursed on a per person, per mile basis.  When transporting more than one client, an ADDT must make all reasonable efforts to minimize the total number of miles for each client each trip.  For example, when transporting multiple clients to an ADDT facility the client with a pick-up location farthest away from the ADDT facility should be picked up first, and the client with the pick-up location closest to the ADDT facility should be picked up last.  </w:t>
      </w:r>
      <w:hyperlink r:id="rId14" w:history="1">
        <w:r>
          <w:rPr>
            <w:rStyle w:val="Hyperlink"/>
            <w:highlight w:val="yellow"/>
          </w:rPr>
          <w:t>View or print the billable ADDT transportation services procedure codes and description</w:t>
        </w:r>
      </w:hyperlink>
      <w:r>
        <w:rPr>
          <w:highlight w:val="yellow"/>
        </w:rPr>
        <w:t>.</w:t>
      </w:r>
      <w:bookmarkEnd w:id="73"/>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D6F7A" w:rsidRPr="00C90D20" w14:paraId="4B16E110" w14:textId="77777777" w:rsidTr="007D6051">
        <w:trPr>
          <w:cantSplit/>
        </w:trPr>
        <w:tc>
          <w:tcPr>
            <w:tcW w:w="8122" w:type="dxa"/>
            <w:tcBorders>
              <w:top w:val="single" w:sz="2" w:space="0" w:color="FFFFFF"/>
              <w:left w:val="single" w:sz="2" w:space="0" w:color="FFFFFF"/>
              <w:bottom w:val="single" w:sz="2" w:space="0" w:color="FFFFFF"/>
              <w:right w:val="single" w:sz="6" w:space="0" w:color="FFFFFF"/>
            </w:tcBorders>
          </w:tcPr>
          <w:p w14:paraId="20F1FB35" w14:textId="77777777" w:rsidR="00FD6F7A" w:rsidRPr="00C90D20" w:rsidRDefault="00FD6F7A" w:rsidP="007D6051">
            <w:pPr>
              <w:pStyle w:val="chead2"/>
            </w:pPr>
            <w:bookmarkStart w:id="75" w:name="_Toc148238474"/>
            <w:bookmarkStart w:id="76" w:name="_Toc474231174"/>
            <w:bookmarkStart w:id="77" w:name="_Toc199342370"/>
            <w:r w:rsidRPr="00C90D20">
              <w:t>215.000</w:t>
            </w:r>
            <w:r w:rsidRPr="00C90D20">
              <w:tab/>
            </w:r>
            <w:bookmarkEnd w:id="75"/>
            <w:bookmarkEnd w:id="76"/>
            <w:r w:rsidR="00593161" w:rsidRPr="00C90D20">
              <w:t>Individual Treatment Plan (ITP)</w:t>
            </w:r>
            <w:bookmarkEnd w:id="77"/>
          </w:p>
        </w:tc>
        <w:tc>
          <w:tcPr>
            <w:tcW w:w="1238" w:type="dxa"/>
            <w:tcBorders>
              <w:top w:val="single" w:sz="2" w:space="0" w:color="FFFFFF"/>
              <w:left w:val="single" w:sz="6" w:space="0" w:color="FFFFFF"/>
              <w:bottom w:val="single" w:sz="2" w:space="0" w:color="FFFFFF"/>
              <w:right w:val="single" w:sz="2" w:space="0" w:color="FFFFFF"/>
            </w:tcBorders>
          </w:tcPr>
          <w:p w14:paraId="7E3ED24D" w14:textId="77777777" w:rsidR="00FD6F7A" w:rsidRPr="00C90D20" w:rsidRDefault="00323AA1" w:rsidP="007D6051">
            <w:pPr>
              <w:pStyle w:val="cDate2"/>
            </w:pPr>
            <w:r>
              <w:t>8-1-22</w:t>
            </w:r>
          </w:p>
        </w:tc>
      </w:tr>
    </w:tbl>
    <w:p w14:paraId="47C4FDDA" w14:textId="77777777" w:rsidR="00323AA1" w:rsidRDefault="00323AA1" w:rsidP="00323AA1">
      <w:pPr>
        <w:pStyle w:val="CLETTERED"/>
        <w:rPr>
          <w:highlight w:val="yellow"/>
        </w:rPr>
      </w:pPr>
      <w:r>
        <w:rPr>
          <w:highlight w:val="yellow"/>
        </w:rPr>
        <w:t>A.</w:t>
      </w:r>
      <w:r>
        <w:rPr>
          <w:highlight w:val="yellow"/>
        </w:rPr>
        <w:tab/>
      </w:r>
      <w:r>
        <w:t xml:space="preserve">Each </w:t>
      </w:r>
      <w:r>
        <w:rPr>
          <w:highlight w:val="yellow"/>
        </w:rPr>
        <w:t>client</w:t>
      </w:r>
      <w:r>
        <w:t xml:space="preserve"> </w:t>
      </w:r>
      <w:r>
        <w:rPr>
          <w:highlight w:val="yellow"/>
        </w:rPr>
        <w:t>receiving covered</w:t>
      </w:r>
      <w:r>
        <w:t xml:space="preserve"> ADDT</w:t>
      </w:r>
      <w:r>
        <w:rPr>
          <w:highlight w:val="yellow"/>
        </w:rPr>
        <w:t xml:space="preserve"> services</w:t>
      </w:r>
      <w:r>
        <w:t xml:space="preserve"> must have an individual treatment plan (ITP).</w:t>
      </w:r>
    </w:p>
    <w:p w14:paraId="6B4B6245" w14:textId="77777777" w:rsidR="00323AA1" w:rsidRDefault="00323AA1" w:rsidP="00323AA1">
      <w:pPr>
        <w:pStyle w:val="cnumbered"/>
        <w:rPr>
          <w:highlight w:val="yellow"/>
        </w:rPr>
      </w:pPr>
      <w:r>
        <w:rPr>
          <w:highlight w:val="yellow"/>
        </w:rPr>
        <w:t>1.</w:t>
      </w:r>
      <w:r>
        <w:rPr>
          <w:highlight w:val="yellow"/>
        </w:rPr>
        <w:tab/>
        <w:t xml:space="preserve">An ITP is </w:t>
      </w:r>
      <w:r>
        <w:t xml:space="preserve">a written, individualized plan to improve or maintain the </w:t>
      </w:r>
      <w:r>
        <w:rPr>
          <w:highlight w:val="yellow"/>
        </w:rPr>
        <w:t>client</w:t>
      </w:r>
      <w:r>
        <w:t xml:space="preserve">’s condition based upon evaluation of the </w:t>
      </w:r>
      <w:r>
        <w:rPr>
          <w:highlight w:val="yellow"/>
        </w:rPr>
        <w:t>client</w:t>
      </w:r>
      <w:r>
        <w:t>.</w:t>
      </w:r>
    </w:p>
    <w:p w14:paraId="4605D53F" w14:textId="77777777" w:rsidR="00323AA1" w:rsidRDefault="00323AA1" w:rsidP="00323AA1">
      <w:pPr>
        <w:pStyle w:val="cnumbered"/>
        <w:rPr>
          <w:highlight w:val="yellow"/>
        </w:rPr>
      </w:pPr>
      <w:r>
        <w:rPr>
          <w:highlight w:val="yellow"/>
        </w:rPr>
        <w:t>2.</w:t>
      </w:r>
      <w:r>
        <w:rPr>
          <w:highlight w:val="yellow"/>
        </w:rPr>
        <w:tab/>
      </w:r>
      <w:bookmarkStart w:id="78" w:name="_Hlk97278965"/>
      <w:r>
        <w:rPr>
          <w:highlight w:val="yellow"/>
        </w:rPr>
        <w:t>An ITP must be reevaluated and updated at least annually</w:t>
      </w:r>
      <w:bookmarkEnd w:id="78"/>
      <w:r>
        <w:rPr>
          <w:highlight w:val="yellow"/>
        </w:rPr>
        <w:t>.</w:t>
      </w:r>
    </w:p>
    <w:p w14:paraId="68D2A62E" w14:textId="77777777" w:rsidR="00323AA1" w:rsidRDefault="00323AA1" w:rsidP="00323AA1">
      <w:pPr>
        <w:pStyle w:val="CLETTERED"/>
      </w:pPr>
      <w:r>
        <w:rPr>
          <w:highlight w:val="yellow"/>
        </w:rPr>
        <w:t>B.</w:t>
      </w:r>
      <w:r>
        <w:rPr>
          <w:highlight w:val="yellow"/>
        </w:rPr>
        <w:tab/>
      </w:r>
      <w:r>
        <w:t>Each ITP must at a minimum contain:</w:t>
      </w:r>
    </w:p>
    <w:p w14:paraId="743E19CF" w14:textId="77777777" w:rsidR="00323AA1" w:rsidRDefault="00323AA1" w:rsidP="00323AA1">
      <w:pPr>
        <w:pStyle w:val="cnumbered"/>
        <w:rPr>
          <w:highlight w:val="yellow"/>
        </w:rPr>
      </w:pPr>
      <w:r>
        <w:rPr>
          <w:highlight w:val="yellow"/>
        </w:rPr>
        <w:t>1</w:t>
      </w:r>
      <w:r>
        <w:t>.</w:t>
      </w:r>
      <w:r>
        <w:tab/>
        <w:t xml:space="preserve">A written description of the </w:t>
      </w:r>
      <w:r>
        <w:rPr>
          <w:highlight w:val="yellow"/>
        </w:rPr>
        <w:t xml:space="preserve">goals and </w:t>
      </w:r>
      <w:r>
        <w:t>objectives</w:t>
      </w:r>
      <w:r>
        <w:rPr>
          <w:highlight w:val="yellow"/>
        </w:rPr>
        <w:t xml:space="preserve"> for each covered EIDT service. Each client goal and objective must be:</w:t>
      </w:r>
    </w:p>
    <w:p w14:paraId="0D711802" w14:textId="77777777" w:rsidR="00323AA1" w:rsidRDefault="00323AA1" w:rsidP="00323AA1">
      <w:pPr>
        <w:pStyle w:val="cletteredindent"/>
        <w:rPr>
          <w:highlight w:val="yellow"/>
        </w:rPr>
      </w:pPr>
      <w:r>
        <w:rPr>
          <w:highlight w:val="yellow"/>
        </w:rPr>
        <w:t>a.</w:t>
      </w:r>
      <w:r>
        <w:rPr>
          <w:highlight w:val="yellow"/>
        </w:rPr>
        <w:tab/>
        <w:t>Written in the form of a regular function, task, or activity the client is working toward successfully performing;</w:t>
      </w:r>
    </w:p>
    <w:p w14:paraId="46B2B74E" w14:textId="77777777" w:rsidR="00323AA1" w:rsidRDefault="00323AA1" w:rsidP="00323AA1">
      <w:pPr>
        <w:pStyle w:val="cletteredindent"/>
        <w:rPr>
          <w:highlight w:val="yellow"/>
        </w:rPr>
      </w:pPr>
      <w:r>
        <w:rPr>
          <w:highlight w:val="yellow"/>
        </w:rPr>
        <w:t>b.</w:t>
      </w:r>
      <w:r>
        <w:rPr>
          <w:highlight w:val="yellow"/>
        </w:rPr>
        <w:tab/>
        <w:t xml:space="preserve">Measurable; and </w:t>
      </w:r>
    </w:p>
    <w:p w14:paraId="512EF61D" w14:textId="77777777" w:rsidR="00323AA1" w:rsidRDefault="00323AA1" w:rsidP="00323AA1">
      <w:pPr>
        <w:pStyle w:val="cletteredindent"/>
      </w:pPr>
      <w:r>
        <w:rPr>
          <w:highlight w:val="yellow"/>
        </w:rPr>
        <w:t>c.</w:t>
      </w:r>
      <w:r>
        <w:rPr>
          <w:highlight w:val="yellow"/>
        </w:rPr>
        <w:tab/>
        <w:t>Specific to each individual client.</w:t>
      </w:r>
    </w:p>
    <w:p w14:paraId="11A49B04" w14:textId="77777777" w:rsidR="00323AA1" w:rsidRDefault="00323AA1" w:rsidP="00323AA1">
      <w:pPr>
        <w:pStyle w:val="cnumbered"/>
      </w:pPr>
      <w:r>
        <w:rPr>
          <w:highlight w:val="yellow"/>
        </w:rPr>
        <w:t>2</w:t>
      </w:r>
      <w:r>
        <w:t>.</w:t>
      </w:r>
      <w:r>
        <w:tab/>
        <w:t xml:space="preserve">The specific medical and remedial services, therapies, and activities that will be </w:t>
      </w:r>
      <w:r>
        <w:rPr>
          <w:highlight w:val="yellow"/>
        </w:rPr>
        <w:t xml:space="preserve">provided </w:t>
      </w:r>
      <w:r>
        <w:t xml:space="preserve">and how those services, therapies, and activities are designed to achieve the </w:t>
      </w:r>
      <w:r>
        <w:rPr>
          <w:highlight w:val="yellow"/>
        </w:rPr>
        <w:t xml:space="preserve">client’s goals and </w:t>
      </w:r>
      <w:r>
        <w:t>objectives;</w:t>
      </w:r>
    </w:p>
    <w:p w14:paraId="72DBB22E" w14:textId="77777777" w:rsidR="00323AA1" w:rsidRDefault="00323AA1" w:rsidP="00323AA1">
      <w:pPr>
        <w:pStyle w:val="cnumbered"/>
      </w:pPr>
      <w:r>
        <w:rPr>
          <w:highlight w:val="yellow"/>
        </w:rPr>
        <w:t>3</w:t>
      </w:r>
      <w:r>
        <w:t>.</w:t>
      </w:r>
      <w:r>
        <w:tab/>
        <w:t xml:space="preserve">Any evaluations or </w:t>
      </w:r>
      <w:r>
        <w:rPr>
          <w:highlight w:val="yellow"/>
        </w:rPr>
        <w:t xml:space="preserve">other </w:t>
      </w:r>
      <w:r>
        <w:t xml:space="preserve">documentation that supports the medical necessity of the </w:t>
      </w:r>
      <w:r>
        <w:rPr>
          <w:highlight w:val="yellow"/>
        </w:rPr>
        <w:t xml:space="preserve">covered ADDT </w:t>
      </w:r>
      <w:r>
        <w:t xml:space="preserve">services specified in the </w:t>
      </w:r>
      <w:r>
        <w:rPr>
          <w:highlight w:val="yellow"/>
        </w:rPr>
        <w:t>ITP</w:t>
      </w:r>
      <w:r>
        <w:t>;</w:t>
      </w:r>
    </w:p>
    <w:p w14:paraId="714F84B8" w14:textId="77777777" w:rsidR="00323AA1" w:rsidRDefault="00323AA1" w:rsidP="00323AA1">
      <w:pPr>
        <w:pStyle w:val="cnumbered"/>
      </w:pPr>
      <w:r>
        <w:rPr>
          <w:highlight w:val="yellow"/>
        </w:rPr>
        <w:t>4</w:t>
      </w:r>
      <w:r>
        <w:t>.</w:t>
      </w:r>
      <w:r>
        <w:tab/>
        <w:t xml:space="preserve">A schedule of service delivery that includes the frequency and duration of each type of </w:t>
      </w:r>
      <w:r>
        <w:rPr>
          <w:highlight w:val="yellow"/>
        </w:rPr>
        <w:t xml:space="preserve">covered ADDT </w:t>
      </w:r>
      <w:r>
        <w:t>service;</w:t>
      </w:r>
    </w:p>
    <w:p w14:paraId="12A38A59" w14:textId="77777777" w:rsidR="00323AA1" w:rsidRDefault="00323AA1" w:rsidP="00323AA1">
      <w:pPr>
        <w:pStyle w:val="cnumbered"/>
      </w:pPr>
      <w:r>
        <w:rPr>
          <w:highlight w:val="yellow"/>
        </w:rPr>
        <w:t>5</w:t>
      </w:r>
      <w:r>
        <w:t>.</w:t>
      </w:r>
      <w:r>
        <w:tab/>
        <w:t>The job title</w:t>
      </w:r>
      <w:r>
        <w:rPr>
          <w:highlight w:val="yellow"/>
        </w:rPr>
        <w:t>(</w:t>
      </w:r>
      <w:r>
        <w:t>s</w:t>
      </w:r>
      <w:r>
        <w:rPr>
          <w:highlight w:val="yellow"/>
        </w:rPr>
        <w:t>)</w:t>
      </w:r>
      <w:r>
        <w:t xml:space="preserve"> or credential</w:t>
      </w:r>
      <w:r>
        <w:rPr>
          <w:highlight w:val="yellow"/>
        </w:rPr>
        <w:t>(</w:t>
      </w:r>
      <w:r>
        <w:t>s</w:t>
      </w:r>
      <w:r>
        <w:rPr>
          <w:highlight w:val="yellow"/>
        </w:rPr>
        <w:t>)</w:t>
      </w:r>
      <w:r>
        <w:t xml:space="preserve"> of the personnel that will furnish each</w:t>
      </w:r>
      <w:r w:rsidR="00A0453B">
        <w:t xml:space="preserve"> </w:t>
      </w:r>
      <w:r>
        <w:rPr>
          <w:highlight w:val="yellow"/>
        </w:rPr>
        <w:t>covered ADDT service</w:t>
      </w:r>
      <w:r>
        <w:t>;</w:t>
      </w:r>
    </w:p>
    <w:p w14:paraId="26FF236B" w14:textId="77777777" w:rsidR="00FD6F7A" w:rsidRPr="00323AA1" w:rsidRDefault="00323AA1" w:rsidP="00323AA1">
      <w:pPr>
        <w:pStyle w:val="cnumbered"/>
      </w:pPr>
      <w:r>
        <w:rPr>
          <w:highlight w:val="yellow"/>
        </w:rPr>
        <w:t>6</w:t>
      </w:r>
      <w:r>
        <w:t>.</w:t>
      </w:r>
      <w:r>
        <w:tab/>
      </w:r>
      <w:r>
        <w:rPr>
          <w:highlight w:val="yellow"/>
        </w:rPr>
        <w:t>The</w:t>
      </w:r>
      <w:r>
        <w:t xml:space="preserve"> schedule for completing re-evaluations of the </w:t>
      </w:r>
      <w:r>
        <w:rPr>
          <w:highlight w:val="yellow"/>
        </w:rPr>
        <w:t>client</w:t>
      </w:r>
      <w:r>
        <w:t>’s condition and updating the ITP.</w:t>
      </w:r>
    </w:p>
    <w:p w14:paraId="24FE845C" w14:textId="77777777" w:rsidR="004F04F6" w:rsidRPr="00C90D20" w:rsidRDefault="004F04F6" w:rsidP="004F04F6">
      <w:pPr>
        <w:pStyle w:val="ctablespace"/>
      </w:pPr>
    </w:p>
    <w:tbl>
      <w:tblPr>
        <w:tblW w:w="9360" w:type="dxa"/>
        <w:shd w:val="clear" w:color="auto" w:fill="1D73D6"/>
        <w:tblLook w:val="0000" w:firstRow="0" w:lastRow="0" w:firstColumn="0" w:lastColumn="0" w:noHBand="0" w:noVBand="0"/>
      </w:tblPr>
      <w:tblGrid>
        <w:gridCol w:w="8122"/>
        <w:gridCol w:w="1238"/>
      </w:tblGrid>
      <w:tr w:rsidR="00FD6F7A" w:rsidRPr="00C90D20" w14:paraId="0449225F" w14:textId="77777777" w:rsidTr="007D6051">
        <w:trPr>
          <w:cantSplit/>
        </w:trPr>
        <w:tc>
          <w:tcPr>
            <w:tcW w:w="8122" w:type="dxa"/>
            <w:shd w:val="clear" w:color="auto" w:fill="1D73D6"/>
          </w:tcPr>
          <w:p w14:paraId="532871A5" w14:textId="77777777" w:rsidR="00FD6F7A" w:rsidRPr="00C90D20" w:rsidRDefault="00FD6F7A" w:rsidP="007D6051">
            <w:pPr>
              <w:pStyle w:val="chead1"/>
            </w:pPr>
            <w:bookmarkStart w:id="79" w:name="_Toc474231191"/>
            <w:bookmarkStart w:id="80" w:name="_Toc199342371"/>
            <w:r w:rsidRPr="00C90D20">
              <w:t>220.000</w:t>
            </w:r>
            <w:r w:rsidRPr="00C90D20">
              <w:tab/>
              <w:t>PRIOR AUTHORIZATION</w:t>
            </w:r>
            <w:bookmarkEnd w:id="79"/>
            <w:bookmarkEnd w:id="80"/>
          </w:p>
        </w:tc>
        <w:tc>
          <w:tcPr>
            <w:tcW w:w="1238" w:type="dxa"/>
            <w:shd w:val="clear" w:color="auto" w:fill="1D73D6"/>
            <w:vAlign w:val="center"/>
          </w:tcPr>
          <w:p w14:paraId="519CB7EF" w14:textId="77777777" w:rsidR="00FD6F7A" w:rsidRPr="00C90D20" w:rsidRDefault="00D119C3" w:rsidP="007D6051">
            <w:pPr>
              <w:pStyle w:val="cDate1"/>
              <w:rPr>
                <w:bCs/>
              </w:rPr>
            </w:pPr>
            <w:r>
              <w:t>8-1-22</w:t>
            </w:r>
          </w:p>
        </w:tc>
      </w:tr>
    </w:tbl>
    <w:p w14:paraId="04B84220" w14:textId="77777777" w:rsidR="00D119C3" w:rsidRDefault="00D119C3" w:rsidP="00D119C3">
      <w:pPr>
        <w:pStyle w:val="ctext"/>
      </w:pPr>
      <w:r>
        <w:t xml:space="preserve">Prior authorization is required for </w:t>
      </w:r>
      <w:r>
        <w:rPr>
          <w:highlight w:val="yellow"/>
        </w:rPr>
        <w:t>an ADDT provider</w:t>
      </w:r>
      <w:r>
        <w:t xml:space="preserve"> to</w:t>
      </w:r>
      <w:r>
        <w:rPr>
          <w:highlight w:val="yellow"/>
        </w:rPr>
        <w:t xml:space="preserve"> be</w:t>
      </w:r>
      <w:r>
        <w:t xml:space="preserve"> reimburse</w:t>
      </w:r>
      <w:r>
        <w:rPr>
          <w:highlight w:val="yellow"/>
        </w:rPr>
        <w:t>d</w:t>
      </w:r>
      <w:r>
        <w:t xml:space="preserve"> for:</w:t>
      </w:r>
    </w:p>
    <w:p w14:paraId="2BCD6E2A" w14:textId="77777777" w:rsidR="00D119C3" w:rsidRDefault="00D119C3" w:rsidP="00D119C3">
      <w:pPr>
        <w:pStyle w:val="CLETTERED"/>
      </w:pPr>
      <w:r>
        <w:t>A.</w:t>
      </w:r>
      <w:r>
        <w:tab/>
        <w:t xml:space="preserve">Over five (5) hours of day habilitative services </w:t>
      </w:r>
      <w:r>
        <w:rPr>
          <w:highlight w:val="yellow"/>
        </w:rPr>
        <w:t xml:space="preserve">in a single </w:t>
      </w:r>
      <w:r>
        <w:t>day;</w:t>
      </w:r>
    </w:p>
    <w:p w14:paraId="0307FF01" w14:textId="77777777" w:rsidR="00D119C3" w:rsidRDefault="00D119C3" w:rsidP="00D119C3">
      <w:pPr>
        <w:pStyle w:val="CLETTERED"/>
        <w:rPr>
          <w:highlight w:val="yellow"/>
        </w:rPr>
      </w:pPr>
      <w:r>
        <w:t>B:</w:t>
      </w:r>
      <w:r>
        <w:tab/>
        <w:t xml:space="preserve">Over ninety (90) minutes per week of </w:t>
      </w:r>
      <w:r>
        <w:rPr>
          <w:highlight w:val="yellow"/>
        </w:rPr>
        <w:t>any of the following services:</w:t>
      </w:r>
    </w:p>
    <w:p w14:paraId="64CE7040" w14:textId="77777777" w:rsidR="00D119C3" w:rsidRDefault="00D119C3" w:rsidP="00D119C3">
      <w:pPr>
        <w:pStyle w:val="cnumbered"/>
        <w:rPr>
          <w:highlight w:val="yellow"/>
        </w:rPr>
      </w:pPr>
      <w:r>
        <w:rPr>
          <w:highlight w:val="yellow"/>
        </w:rPr>
        <w:t>1.</w:t>
      </w:r>
      <w:r>
        <w:rPr>
          <w:highlight w:val="yellow"/>
        </w:rPr>
        <w:tab/>
        <w:t>O</w:t>
      </w:r>
      <w:r>
        <w:t>ccupational</w:t>
      </w:r>
      <w:r>
        <w:rPr>
          <w:highlight w:val="yellow"/>
        </w:rPr>
        <w:t xml:space="preserve"> therapy;</w:t>
      </w:r>
    </w:p>
    <w:p w14:paraId="5EB52B81" w14:textId="77777777" w:rsidR="00D119C3" w:rsidRDefault="00D119C3" w:rsidP="00D119C3">
      <w:pPr>
        <w:pStyle w:val="cnumbered"/>
        <w:rPr>
          <w:highlight w:val="yellow"/>
        </w:rPr>
      </w:pPr>
      <w:r>
        <w:rPr>
          <w:highlight w:val="yellow"/>
        </w:rPr>
        <w:lastRenderedPageBreak/>
        <w:t>2.</w:t>
      </w:r>
      <w:r>
        <w:rPr>
          <w:highlight w:val="yellow"/>
        </w:rPr>
        <w:tab/>
        <w:t>P</w:t>
      </w:r>
      <w:r>
        <w:t>hysical</w:t>
      </w:r>
      <w:r>
        <w:rPr>
          <w:highlight w:val="yellow"/>
        </w:rPr>
        <w:t xml:space="preserve"> therapy;</w:t>
      </w:r>
      <w:r>
        <w:t xml:space="preserve"> or </w:t>
      </w:r>
    </w:p>
    <w:p w14:paraId="6752E60D" w14:textId="77777777" w:rsidR="00D119C3" w:rsidRDefault="00D119C3" w:rsidP="00D119C3">
      <w:pPr>
        <w:pStyle w:val="cnumbered"/>
      </w:pPr>
      <w:r>
        <w:rPr>
          <w:highlight w:val="yellow"/>
        </w:rPr>
        <w:t>3.</w:t>
      </w:r>
      <w:r>
        <w:rPr>
          <w:highlight w:val="yellow"/>
        </w:rPr>
        <w:tab/>
        <w:t>S</w:t>
      </w:r>
      <w:r>
        <w:t xml:space="preserve">peech-language </w:t>
      </w:r>
      <w:r>
        <w:rPr>
          <w:highlight w:val="yellow"/>
        </w:rPr>
        <w:t>pathology</w:t>
      </w:r>
      <w:r>
        <w:t>;</w:t>
      </w:r>
    </w:p>
    <w:p w14:paraId="72507A07" w14:textId="77777777" w:rsidR="00D119C3" w:rsidRDefault="00D119C3" w:rsidP="00D119C3">
      <w:pPr>
        <w:pStyle w:val="CLETTERED"/>
      </w:pPr>
      <w:r>
        <w:t>C.</w:t>
      </w:r>
      <w:r>
        <w:tab/>
        <w:t>All ADDT nursing services; and</w:t>
      </w:r>
    </w:p>
    <w:p w14:paraId="146661AC" w14:textId="77777777" w:rsidR="00D119C3" w:rsidRDefault="00D119C3" w:rsidP="00D119C3">
      <w:pPr>
        <w:pStyle w:val="CLETTERED"/>
        <w:rPr>
          <w:highlight w:val="yellow"/>
        </w:rPr>
      </w:pPr>
      <w:r>
        <w:t>D.</w:t>
      </w:r>
      <w:r>
        <w:tab/>
        <w:t xml:space="preserve">Over eight (8) total </w:t>
      </w:r>
      <w:r>
        <w:rPr>
          <w:highlight w:val="yellow"/>
        </w:rPr>
        <w:t xml:space="preserve">combined </w:t>
      </w:r>
      <w:r>
        <w:t xml:space="preserve">hours of </w:t>
      </w:r>
      <w:r>
        <w:rPr>
          <w:highlight w:val="yellow"/>
        </w:rPr>
        <w:t xml:space="preserve">the following </w:t>
      </w:r>
      <w:r>
        <w:t xml:space="preserve">services in a </w:t>
      </w:r>
      <w:r>
        <w:rPr>
          <w:highlight w:val="yellow"/>
        </w:rPr>
        <w:t xml:space="preserve">single </w:t>
      </w:r>
      <w:r>
        <w:t>day</w:t>
      </w:r>
      <w:r>
        <w:rPr>
          <w:highlight w:val="yellow"/>
        </w:rPr>
        <w:t>:</w:t>
      </w:r>
    </w:p>
    <w:p w14:paraId="36BDB22A" w14:textId="77777777" w:rsidR="00D119C3" w:rsidRDefault="00D119C3" w:rsidP="00D119C3">
      <w:pPr>
        <w:pStyle w:val="cnumbered"/>
        <w:rPr>
          <w:highlight w:val="yellow"/>
        </w:rPr>
      </w:pPr>
      <w:r>
        <w:rPr>
          <w:highlight w:val="yellow"/>
        </w:rPr>
        <w:t>1.</w:t>
      </w:r>
      <w:r>
        <w:rPr>
          <w:highlight w:val="yellow"/>
        </w:rPr>
        <w:tab/>
        <w:t>Day habilitative;</w:t>
      </w:r>
    </w:p>
    <w:p w14:paraId="2668D551" w14:textId="77777777" w:rsidR="00D119C3" w:rsidRDefault="00D119C3" w:rsidP="00D119C3">
      <w:pPr>
        <w:pStyle w:val="cnumbered"/>
        <w:rPr>
          <w:highlight w:val="yellow"/>
        </w:rPr>
      </w:pPr>
      <w:r>
        <w:rPr>
          <w:highlight w:val="yellow"/>
        </w:rPr>
        <w:t>2.</w:t>
      </w:r>
      <w:r>
        <w:rPr>
          <w:highlight w:val="yellow"/>
        </w:rPr>
        <w:tab/>
        <w:t>Occupational therapy;</w:t>
      </w:r>
    </w:p>
    <w:p w14:paraId="1ECC5906" w14:textId="77777777" w:rsidR="00D119C3" w:rsidRDefault="00D119C3" w:rsidP="00D119C3">
      <w:pPr>
        <w:pStyle w:val="cnumbered"/>
        <w:rPr>
          <w:highlight w:val="yellow"/>
        </w:rPr>
      </w:pPr>
      <w:r>
        <w:rPr>
          <w:highlight w:val="yellow"/>
        </w:rPr>
        <w:t>3.</w:t>
      </w:r>
      <w:r>
        <w:rPr>
          <w:highlight w:val="yellow"/>
        </w:rPr>
        <w:tab/>
        <w:t>Physical therapy;</w:t>
      </w:r>
    </w:p>
    <w:p w14:paraId="207FF16E" w14:textId="77777777" w:rsidR="00D119C3" w:rsidRDefault="00D119C3" w:rsidP="00D119C3">
      <w:pPr>
        <w:pStyle w:val="cnumbered"/>
        <w:rPr>
          <w:highlight w:val="yellow"/>
        </w:rPr>
      </w:pPr>
      <w:r>
        <w:rPr>
          <w:highlight w:val="yellow"/>
        </w:rPr>
        <w:t>4.</w:t>
      </w:r>
      <w:r>
        <w:rPr>
          <w:highlight w:val="yellow"/>
        </w:rPr>
        <w:tab/>
        <w:t>Speech-language pathology; and</w:t>
      </w:r>
    </w:p>
    <w:p w14:paraId="675DCFEA" w14:textId="77777777" w:rsidR="00FD6F7A" w:rsidRPr="00C90D20" w:rsidRDefault="00D119C3" w:rsidP="00D119C3">
      <w:pPr>
        <w:pStyle w:val="cnumbered"/>
      </w:pPr>
      <w:r>
        <w:rPr>
          <w:highlight w:val="yellow"/>
        </w:rPr>
        <w:t>5.</w:t>
      </w:r>
      <w:r>
        <w:rPr>
          <w:highlight w:val="yellow"/>
        </w:rPr>
        <w:tab/>
        <w:t>Nursing.</w:t>
      </w:r>
    </w:p>
    <w:p w14:paraId="14FE44BD" w14:textId="77777777" w:rsidR="00FD6F7A" w:rsidRPr="00C90D20" w:rsidRDefault="00FD6F7A" w:rsidP="00FD6F7A">
      <w:pPr>
        <w:pStyle w:val="ctablespace"/>
      </w:pPr>
    </w:p>
    <w:tbl>
      <w:tblPr>
        <w:tblW w:w="9360" w:type="dxa"/>
        <w:tblLook w:val="0000" w:firstRow="0" w:lastRow="0" w:firstColumn="0" w:lastColumn="0" w:noHBand="0" w:noVBand="0"/>
      </w:tblPr>
      <w:tblGrid>
        <w:gridCol w:w="8122"/>
        <w:gridCol w:w="1238"/>
      </w:tblGrid>
      <w:tr w:rsidR="00FD6F7A" w:rsidRPr="00C90D20" w14:paraId="3C06F213" w14:textId="77777777" w:rsidTr="007D6051">
        <w:trPr>
          <w:cantSplit/>
        </w:trPr>
        <w:tc>
          <w:tcPr>
            <w:tcW w:w="8122" w:type="dxa"/>
            <w:shd w:val="clear" w:color="auto" w:fill="1D73D6"/>
          </w:tcPr>
          <w:p w14:paraId="799FBC61" w14:textId="77777777" w:rsidR="00FD6F7A" w:rsidRPr="00C90D20" w:rsidRDefault="00FD6F7A" w:rsidP="007D6051">
            <w:pPr>
              <w:pStyle w:val="chead1"/>
            </w:pPr>
            <w:bookmarkStart w:id="81" w:name="_Toc474231192"/>
            <w:bookmarkStart w:id="82" w:name="_Toc199342372"/>
            <w:r w:rsidRPr="00C90D20">
              <w:t>230.000</w:t>
            </w:r>
            <w:r w:rsidRPr="00C90D20">
              <w:tab/>
              <w:t>REIMBURSEMENT</w:t>
            </w:r>
            <w:bookmarkEnd w:id="81"/>
            <w:r w:rsidRPr="00C90D20">
              <w:t xml:space="preserve"> and recoupment</w:t>
            </w:r>
            <w:bookmarkEnd w:id="82"/>
          </w:p>
        </w:tc>
        <w:tc>
          <w:tcPr>
            <w:tcW w:w="1238" w:type="dxa"/>
            <w:shd w:val="clear" w:color="auto" w:fill="1D73D6"/>
            <w:vAlign w:val="center"/>
          </w:tcPr>
          <w:p w14:paraId="000ADE83" w14:textId="77777777" w:rsidR="00FD6F7A" w:rsidRPr="00C90D20" w:rsidRDefault="00D119C3" w:rsidP="007D6051">
            <w:pPr>
              <w:pStyle w:val="cDate1"/>
              <w:rPr>
                <w:bCs/>
              </w:rPr>
            </w:pPr>
            <w:r>
              <w:rPr>
                <w:bCs/>
              </w:rPr>
              <w:t>8-1-22</w:t>
            </w:r>
          </w:p>
        </w:tc>
      </w:tr>
      <w:tr w:rsidR="00FD6F7A" w:rsidRPr="00C90D20" w14:paraId="27BDFB24" w14:textId="77777777" w:rsidTr="007D6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71819C5E" w14:textId="77777777" w:rsidR="00FD6F7A" w:rsidRPr="00C90D20" w:rsidRDefault="00FD6F7A" w:rsidP="007D6051">
            <w:pPr>
              <w:pStyle w:val="chead2"/>
            </w:pPr>
            <w:bookmarkStart w:id="83" w:name="_Toc474231193"/>
            <w:bookmarkStart w:id="84" w:name="_Toc199342373"/>
            <w:r w:rsidRPr="00C90D20">
              <w:t>231.000</w:t>
            </w:r>
            <w:r w:rsidRPr="00C90D20">
              <w:tab/>
              <w:t>Method of Reimbursement</w:t>
            </w:r>
            <w:bookmarkEnd w:id="83"/>
            <w:bookmarkEnd w:id="84"/>
          </w:p>
        </w:tc>
        <w:tc>
          <w:tcPr>
            <w:tcW w:w="1238" w:type="dxa"/>
            <w:tcBorders>
              <w:top w:val="nil"/>
              <w:left w:val="single" w:sz="6" w:space="0" w:color="FFFFFF"/>
              <w:bottom w:val="single" w:sz="2" w:space="0" w:color="FFFFFF"/>
              <w:right w:val="single" w:sz="2" w:space="0" w:color="FFFFFF"/>
            </w:tcBorders>
          </w:tcPr>
          <w:p w14:paraId="1458A4FB" w14:textId="77777777" w:rsidR="00FD6F7A" w:rsidRPr="00C90D20" w:rsidRDefault="00D119C3" w:rsidP="007D6051">
            <w:pPr>
              <w:pStyle w:val="cDate2"/>
            </w:pPr>
            <w:r>
              <w:t>8-1-22</w:t>
            </w:r>
          </w:p>
        </w:tc>
      </w:tr>
    </w:tbl>
    <w:p w14:paraId="3E585245" w14:textId="77777777" w:rsidR="00D119C3" w:rsidRDefault="00D119C3" w:rsidP="00D119C3">
      <w:pPr>
        <w:pStyle w:val="ctext"/>
        <w:rPr>
          <w:highlight w:val="yellow"/>
        </w:rPr>
      </w:pPr>
      <w:r>
        <w:rPr>
          <w:highlight w:val="yellow"/>
        </w:rPr>
        <w:t xml:space="preserve">Except as otherwise provided in this manual, covered </w:t>
      </w:r>
      <w:r>
        <w:t xml:space="preserve">ADDT services use fee schedule reimbursement methodology.  Under fee schedule methodology, reimbursement is made at the lower of the billed charge for the </w:t>
      </w:r>
      <w:r>
        <w:rPr>
          <w:highlight w:val="yellow"/>
        </w:rPr>
        <w:t xml:space="preserve">service </w:t>
      </w:r>
      <w:r>
        <w:t xml:space="preserve">or the maximum allowable reimbursement for the </w:t>
      </w:r>
      <w:r>
        <w:rPr>
          <w:highlight w:val="yellow"/>
        </w:rPr>
        <w:t xml:space="preserve">service </w:t>
      </w:r>
      <w:r>
        <w:t xml:space="preserve">under Arkansas Medicaid.  The maximum allowable reimbursement for a </w:t>
      </w:r>
      <w:r>
        <w:rPr>
          <w:highlight w:val="yellow"/>
        </w:rPr>
        <w:t xml:space="preserve">service </w:t>
      </w:r>
      <w:r>
        <w:t>is the same for all ADDT providers.</w:t>
      </w:r>
    </w:p>
    <w:p w14:paraId="5D58F1C3" w14:textId="77777777" w:rsidR="00D119C3" w:rsidRDefault="00D119C3" w:rsidP="00D119C3">
      <w:pPr>
        <w:pStyle w:val="CLETTERED"/>
        <w:rPr>
          <w:highlight w:val="yellow"/>
        </w:rPr>
      </w:pPr>
      <w:r>
        <w:rPr>
          <w:highlight w:val="yellow"/>
        </w:rPr>
        <w:t>A.</w:t>
      </w:r>
      <w:r>
        <w:rPr>
          <w:highlight w:val="yellow"/>
        </w:rPr>
        <w:tab/>
        <w:t>A full unit of service must be rendered to bill a unit of service.</w:t>
      </w:r>
    </w:p>
    <w:p w14:paraId="383FB7BB" w14:textId="77777777" w:rsidR="00D119C3" w:rsidRDefault="00D119C3" w:rsidP="00D119C3">
      <w:pPr>
        <w:pStyle w:val="CLETTERED"/>
      </w:pPr>
      <w:r>
        <w:rPr>
          <w:highlight w:val="yellow"/>
        </w:rPr>
        <w:t>B.</w:t>
      </w:r>
      <w:r>
        <w:rPr>
          <w:highlight w:val="yellow"/>
        </w:rPr>
        <w:tab/>
        <w:t>Partial units of service may not be rounded up and are not reimbursable.</w:t>
      </w:r>
    </w:p>
    <w:p w14:paraId="7F785E5E" w14:textId="77777777" w:rsidR="00FD6F7A" w:rsidRPr="00C90D20" w:rsidRDefault="00D119C3" w:rsidP="00396DBC">
      <w:pPr>
        <w:pStyle w:val="CLETTERED"/>
      </w:pPr>
      <w:r>
        <w:rPr>
          <w:highlight w:val="yellow"/>
        </w:rPr>
        <w:t>C.</w:t>
      </w:r>
      <w:r>
        <w:rPr>
          <w:highlight w:val="yellow"/>
        </w:rPr>
        <w:tab/>
        <w:t>Non-consecutive periods of service delivery over the course of a single day may be aggregated when computing a unit of service.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D6F7A" w:rsidRPr="00C90D20" w14:paraId="11F87AF2" w14:textId="77777777" w:rsidTr="007D6051">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7C92965" w14:textId="77777777" w:rsidR="00FD6F7A" w:rsidRPr="00C90D20" w:rsidRDefault="00FD6F7A" w:rsidP="007D6051">
            <w:pPr>
              <w:pStyle w:val="chead2"/>
            </w:pPr>
            <w:bookmarkStart w:id="85" w:name="_Toc474231194"/>
            <w:bookmarkStart w:id="86" w:name="_Toc199342374"/>
            <w:r w:rsidRPr="00C90D20">
              <w:t>231.100</w:t>
            </w:r>
            <w:r w:rsidRPr="00C90D20">
              <w:tab/>
              <w:t>Fee Schedules</w:t>
            </w:r>
            <w:bookmarkEnd w:id="85"/>
            <w:bookmarkEnd w:id="86"/>
          </w:p>
        </w:tc>
        <w:tc>
          <w:tcPr>
            <w:tcW w:w="1238" w:type="dxa"/>
            <w:tcBorders>
              <w:top w:val="single" w:sz="2" w:space="0" w:color="FFFFFF"/>
              <w:left w:val="single" w:sz="6" w:space="0" w:color="FFFFFF"/>
              <w:bottom w:val="single" w:sz="2" w:space="0" w:color="FFFFFF"/>
              <w:right w:val="single" w:sz="2" w:space="0" w:color="FFFFFF"/>
            </w:tcBorders>
            <w:hideMark/>
          </w:tcPr>
          <w:p w14:paraId="0B45DB3D" w14:textId="77777777" w:rsidR="00FD6F7A" w:rsidRPr="00C90D20" w:rsidRDefault="00D119C3" w:rsidP="007D6051">
            <w:pPr>
              <w:pStyle w:val="cDate2"/>
            </w:pPr>
            <w:r>
              <w:t>8-1-22</w:t>
            </w:r>
          </w:p>
        </w:tc>
      </w:tr>
    </w:tbl>
    <w:p w14:paraId="049149D8" w14:textId="77777777" w:rsidR="00D119C3" w:rsidRDefault="00D119C3" w:rsidP="00D119C3">
      <w:pPr>
        <w:pStyle w:val="CLETTERED"/>
      </w:pPr>
      <w:r>
        <w:rPr>
          <w:highlight w:val="yellow"/>
        </w:rPr>
        <w:t>A.</w:t>
      </w:r>
      <w:r>
        <w:rPr>
          <w:highlight w:val="yellow"/>
        </w:rPr>
        <w:tab/>
        <w:t xml:space="preserve"> </w:t>
      </w:r>
      <w:r>
        <w:t xml:space="preserve">Arkansas Medicaid provides fee schedules on the </w:t>
      </w:r>
      <w:r>
        <w:rPr>
          <w:highlight w:val="yellow"/>
        </w:rPr>
        <w:t xml:space="preserve">DMS </w:t>
      </w:r>
      <w:r>
        <w:t xml:space="preserve">website.  </w:t>
      </w:r>
      <w:hyperlink r:id="rId15" w:history="1">
        <w:r>
          <w:rPr>
            <w:rStyle w:val="Hyperlink"/>
            <w:noProof/>
          </w:rPr>
          <w:t>View or print the ADDT fee schedule</w:t>
        </w:r>
      </w:hyperlink>
      <w:r>
        <w:t>.</w:t>
      </w:r>
    </w:p>
    <w:p w14:paraId="54CA9239" w14:textId="77777777" w:rsidR="00D119C3" w:rsidRDefault="00D119C3" w:rsidP="00D119C3">
      <w:pPr>
        <w:pStyle w:val="CLETTERED"/>
      </w:pPr>
      <w:r>
        <w:rPr>
          <w:highlight w:val="yellow"/>
        </w:rPr>
        <w:t>B.</w:t>
      </w:r>
      <w:r>
        <w:rPr>
          <w:highlight w:val="yellow"/>
        </w:rPr>
        <w:tab/>
      </w:r>
      <w:r>
        <w:t>Fee schedules do not address coverage limitations or special instructions applied by Arkansas Medicaid before final payment is determined.</w:t>
      </w:r>
    </w:p>
    <w:p w14:paraId="7A587BBB" w14:textId="77777777" w:rsidR="00093EFD" w:rsidRPr="00867EF6" w:rsidRDefault="00D119C3" w:rsidP="00D119C3">
      <w:pPr>
        <w:pStyle w:val="CLETTERED"/>
      </w:pPr>
      <w:r>
        <w:rPr>
          <w:highlight w:val="yellow"/>
        </w:rPr>
        <w:t>C.</w:t>
      </w:r>
      <w:r>
        <w:rPr>
          <w:highlight w:val="yellow"/>
        </w:rPr>
        <w:tab/>
      </w:r>
      <w:r>
        <w:t>Fee schedules and procedure codes do not guarantee payment, coverage, or the reimbursement amount.  Fee schedule and procedure code information may be changed or updated at any time.</w:t>
      </w:r>
    </w:p>
    <w:sectPr w:rsidR="00093EFD" w:rsidRPr="00867EF6">
      <w:headerReference w:type="default" r:id="rId16"/>
      <w:footerReference w:type="default" r:id="rId17"/>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CBD3D" w14:textId="77777777" w:rsidR="00D86282" w:rsidRDefault="00D86282">
      <w:r>
        <w:separator/>
      </w:r>
    </w:p>
  </w:endnote>
  <w:endnote w:type="continuationSeparator" w:id="0">
    <w:p w14:paraId="1A5A8E35" w14:textId="77777777" w:rsidR="00D86282" w:rsidRDefault="00D86282">
      <w:r>
        <w:continuationSeparator/>
      </w:r>
    </w:p>
  </w:endnote>
  <w:endnote w:type="continuationNotice" w:id="1">
    <w:p w14:paraId="02684D28" w14:textId="77777777" w:rsidR="00D86282" w:rsidRDefault="00D86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3594" w14:textId="77777777" w:rsidR="00834F63" w:rsidRDefault="00834F63" w:rsidP="00834F63">
    <w:pPr>
      <w:pStyle w:val="Footer"/>
    </w:pPr>
    <w:r>
      <w:tab/>
      <w:t>Section II-</w:t>
    </w:r>
    <w:r>
      <w:fldChar w:fldCharType="begin"/>
    </w:r>
    <w:r>
      <w:instrText xml:space="preserve"> PAGE </w:instrText>
    </w:r>
    <w:r>
      <w:fldChar w:fldCharType="separate"/>
    </w:r>
    <w:r>
      <w:t>1</w:t>
    </w:r>
    <w:r>
      <w:fldChar w:fldCharType="end"/>
    </w:r>
  </w:p>
  <w:p w14:paraId="31BA4802" w14:textId="77777777" w:rsidR="00093EFD" w:rsidRPr="00F67D9E" w:rsidRDefault="00093EFD" w:rsidP="00F67D9E">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F9F44" w14:textId="77777777" w:rsidR="00D86282" w:rsidRDefault="00D86282">
      <w:r>
        <w:separator/>
      </w:r>
    </w:p>
  </w:footnote>
  <w:footnote w:type="continuationSeparator" w:id="0">
    <w:p w14:paraId="3AE08A04" w14:textId="77777777" w:rsidR="00D86282" w:rsidRDefault="00D86282">
      <w:r>
        <w:continuationSeparator/>
      </w:r>
    </w:p>
  </w:footnote>
  <w:footnote w:type="continuationNotice" w:id="1">
    <w:p w14:paraId="634C9AA6" w14:textId="77777777" w:rsidR="00D86282" w:rsidRDefault="00D86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E7F9" w14:textId="77777777" w:rsidR="00093EFD" w:rsidRDefault="00C448CE" w:rsidP="006C1763">
    <w:pPr>
      <w:pStyle w:val="Header"/>
      <w:pBdr>
        <w:bottom w:val="single" w:sz="8" w:space="1" w:color="000000"/>
      </w:pBdr>
      <w:spacing w:after="120"/>
    </w:pPr>
    <w:r>
      <w:t>Adult Developmental Day Treatment</w:t>
    </w:r>
    <w:r w:rsidR="00093EFD">
      <w:tab/>
      <w:t xml:space="preserve">Section </w:t>
    </w:r>
    <w: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843870"/>
    <w:multiLevelType w:val="hybridMultilevel"/>
    <w:tmpl w:val="B714F30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33673A"/>
    <w:multiLevelType w:val="hybridMultilevel"/>
    <w:tmpl w:val="8D7C5A5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5326B4"/>
    <w:multiLevelType w:val="hybridMultilevel"/>
    <w:tmpl w:val="A1802BBE"/>
    <w:lvl w:ilvl="0" w:tplc="CC6CE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A14552"/>
    <w:multiLevelType w:val="hybridMultilevel"/>
    <w:tmpl w:val="FE9E7FA8"/>
    <w:lvl w:ilvl="0" w:tplc="62164654">
      <w:start w:val="1"/>
      <w:numFmt w:val="lowerLetter"/>
      <w:lvlRestart w:val="0"/>
      <w:lvlText w:val="%1."/>
      <w:lvlJc w:val="left"/>
      <w:pPr>
        <w:tabs>
          <w:tab w:val="num" w:pos="1915"/>
        </w:tabs>
        <w:ind w:left="1915" w:hanging="475"/>
      </w:pPr>
      <w:rPr>
        <w:rFonts w:ascii="Arial" w:hAnsi="Arial" w:hint="default"/>
        <w:b w:val="0"/>
        <w:i w:val="0"/>
        <w:caps w:val="0"/>
        <w:strike w:val="0"/>
        <w:dstrike w:val="0"/>
        <w:vanish w:val="0"/>
        <w:color w:val="auto"/>
        <w:sz w:val="21"/>
        <w:u w:val="none"/>
        <w:vertAlign w:val="baseline"/>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228616287">
    <w:abstractNumId w:val="13"/>
  </w:num>
  <w:num w:numId="2" w16cid:durableId="1113787751">
    <w:abstractNumId w:val="11"/>
  </w:num>
  <w:num w:numId="3" w16cid:durableId="1336227856">
    <w:abstractNumId w:val="15"/>
  </w:num>
  <w:num w:numId="4" w16cid:durableId="1988120591">
    <w:abstractNumId w:val="16"/>
  </w:num>
  <w:num w:numId="5" w16cid:durableId="66537926">
    <w:abstractNumId w:val="9"/>
  </w:num>
  <w:num w:numId="6" w16cid:durableId="60297207">
    <w:abstractNumId w:val="9"/>
  </w:num>
  <w:num w:numId="7" w16cid:durableId="843013140">
    <w:abstractNumId w:val="7"/>
  </w:num>
  <w:num w:numId="8" w16cid:durableId="845899338">
    <w:abstractNumId w:val="7"/>
  </w:num>
  <w:num w:numId="9" w16cid:durableId="70272654">
    <w:abstractNumId w:val="6"/>
  </w:num>
  <w:num w:numId="10" w16cid:durableId="185948194">
    <w:abstractNumId w:val="6"/>
  </w:num>
  <w:num w:numId="11" w16cid:durableId="1642421073">
    <w:abstractNumId w:val="5"/>
  </w:num>
  <w:num w:numId="12" w16cid:durableId="1766536449">
    <w:abstractNumId w:val="5"/>
  </w:num>
  <w:num w:numId="13" w16cid:durableId="712268958">
    <w:abstractNumId w:val="4"/>
  </w:num>
  <w:num w:numId="14" w16cid:durableId="1740250999">
    <w:abstractNumId w:val="4"/>
  </w:num>
  <w:num w:numId="15" w16cid:durableId="1581016536">
    <w:abstractNumId w:val="8"/>
  </w:num>
  <w:num w:numId="16" w16cid:durableId="1237089081">
    <w:abstractNumId w:val="8"/>
  </w:num>
  <w:num w:numId="17" w16cid:durableId="449131754">
    <w:abstractNumId w:val="3"/>
  </w:num>
  <w:num w:numId="18" w16cid:durableId="627274216">
    <w:abstractNumId w:val="3"/>
  </w:num>
  <w:num w:numId="19" w16cid:durableId="692196569">
    <w:abstractNumId w:val="2"/>
  </w:num>
  <w:num w:numId="20" w16cid:durableId="1960381243">
    <w:abstractNumId w:val="2"/>
  </w:num>
  <w:num w:numId="21" w16cid:durableId="97680647">
    <w:abstractNumId w:val="1"/>
  </w:num>
  <w:num w:numId="22" w16cid:durableId="1385593722">
    <w:abstractNumId w:val="1"/>
  </w:num>
  <w:num w:numId="23" w16cid:durableId="1525434314">
    <w:abstractNumId w:val="0"/>
  </w:num>
  <w:num w:numId="24" w16cid:durableId="1386679213">
    <w:abstractNumId w:val="0"/>
  </w:num>
  <w:num w:numId="25" w16cid:durableId="313341676">
    <w:abstractNumId w:val="10"/>
  </w:num>
  <w:num w:numId="26" w16cid:durableId="991178632">
    <w:abstractNumId w:val="12"/>
  </w:num>
  <w:num w:numId="27" w16cid:durableId="10933547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v:stroke weight="1.5pt"/>
    </o:shapedefaults>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48CE"/>
    <w:rsid w:val="00002D3D"/>
    <w:rsid w:val="00007529"/>
    <w:rsid w:val="00093EFD"/>
    <w:rsid w:val="000A31D3"/>
    <w:rsid w:val="000C011E"/>
    <w:rsid w:val="000E7366"/>
    <w:rsid w:val="000F3FD3"/>
    <w:rsid w:val="00127E13"/>
    <w:rsid w:val="00132057"/>
    <w:rsid w:val="00197CCB"/>
    <w:rsid w:val="001B4204"/>
    <w:rsid w:val="001C4286"/>
    <w:rsid w:val="001D24B6"/>
    <w:rsid w:val="001E209C"/>
    <w:rsid w:val="00235F69"/>
    <w:rsid w:val="002511E6"/>
    <w:rsid w:val="00270F78"/>
    <w:rsid w:val="00272C86"/>
    <w:rsid w:val="002815C1"/>
    <w:rsid w:val="002A7203"/>
    <w:rsid w:val="002B0519"/>
    <w:rsid w:val="00323AA1"/>
    <w:rsid w:val="00332BEC"/>
    <w:rsid w:val="00361519"/>
    <w:rsid w:val="00365080"/>
    <w:rsid w:val="00391E52"/>
    <w:rsid w:val="00396DBC"/>
    <w:rsid w:val="003C73DD"/>
    <w:rsid w:val="003D4A48"/>
    <w:rsid w:val="003E189C"/>
    <w:rsid w:val="004A4DBA"/>
    <w:rsid w:val="004C1C2F"/>
    <w:rsid w:val="004C40B7"/>
    <w:rsid w:val="004C70A6"/>
    <w:rsid w:val="004F04F6"/>
    <w:rsid w:val="005016C8"/>
    <w:rsid w:val="005472C6"/>
    <w:rsid w:val="00564708"/>
    <w:rsid w:val="00576662"/>
    <w:rsid w:val="00593161"/>
    <w:rsid w:val="005C2FC8"/>
    <w:rsid w:val="005D15E1"/>
    <w:rsid w:val="005D55FF"/>
    <w:rsid w:val="00677FF0"/>
    <w:rsid w:val="006B241B"/>
    <w:rsid w:val="006C1763"/>
    <w:rsid w:val="006D1334"/>
    <w:rsid w:val="006F1AE2"/>
    <w:rsid w:val="007255EF"/>
    <w:rsid w:val="00752458"/>
    <w:rsid w:val="00760677"/>
    <w:rsid w:val="00762065"/>
    <w:rsid w:val="00765568"/>
    <w:rsid w:val="007A7368"/>
    <w:rsid w:val="007B280F"/>
    <w:rsid w:val="007B7AD9"/>
    <w:rsid w:val="007D441D"/>
    <w:rsid w:val="007D6051"/>
    <w:rsid w:val="007F39F8"/>
    <w:rsid w:val="008120B3"/>
    <w:rsid w:val="00814EED"/>
    <w:rsid w:val="00834F63"/>
    <w:rsid w:val="0084647E"/>
    <w:rsid w:val="00867EF6"/>
    <w:rsid w:val="00871BCE"/>
    <w:rsid w:val="00872774"/>
    <w:rsid w:val="00897055"/>
    <w:rsid w:val="008D72E3"/>
    <w:rsid w:val="008E7ABD"/>
    <w:rsid w:val="008F3B5D"/>
    <w:rsid w:val="00921A57"/>
    <w:rsid w:val="0094428F"/>
    <w:rsid w:val="00962D24"/>
    <w:rsid w:val="009650A1"/>
    <w:rsid w:val="00987B18"/>
    <w:rsid w:val="009A3F81"/>
    <w:rsid w:val="009D40CF"/>
    <w:rsid w:val="009D5485"/>
    <w:rsid w:val="009E1021"/>
    <w:rsid w:val="00A0453B"/>
    <w:rsid w:val="00A06BA5"/>
    <w:rsid w:val="00A7399D"/>
    <w:rsid w:val="00AD041B"/>
    <w:rsid w:val="00AD5EDB"/>
    <w:rsid w:val="00AD6CC9"/>
    <w:rsid w:val="00AF0449"/>
    <w:rsid w:val="00B11DB7"/>
    <w:rsid w:val="00B83C9A"/>
    <w:rsid w:val="00B9033D"/>
    <w:rsid w:val="00BF13BE"/>
    <w:rsid w:val="00BF720A"/>
    <w:rsid w:val="00C018DC"/>
    <w:rsid w:val="00C366F6"/>
    <w:rsid w:val="00C448CE"/>
    <w:rsid w:val="00C54CC0"/>
    <w:rsid w:val="00C90D20"/>
    <w:rsid w:val="00C972E7"/>
    <w:rsid w:val="00CA6319"/>
    <w:rsid w:val="00CB0F66"/>
    <w:rsid w:val="00CB446F"/>
    <w:rsid w:val="00CE0E15"/>
    <w:rsid w:val="00CE3381"/>
    <w:rsid w:val="00D03F16"/>
    <w:rsid w:val="00D119C3"/>
    <w:rsid w:val="00D2256F"/>
    <w:rsid w:val="00D75940"/>
    <w:rsid w:val="00D770DA"/>
    <w:rsid w:val="00D86282"/>
    <w:rsid w:val="00DA3F06"/>
    <w:rsid w:val="00DB5128"/>
    <w:rsid w:val="00DB715A"/>
    <w:rsid w:val="00E00954"/>
    <w:rsid w:val="00E17769"/>
    <w:rsid w:val="00E379BA"/>
    <w:rsid w:val="00E516EC"/>
    <w:rsid w:val="00EB55A4"/>
    <w:rsid w:val="00EC4088"/>
    <w:rsid w:val="00EC61FE"/>
    <w:rsid w:val="00F20D44"/>
    <w:rsid w:val="00F249D9"/>
    <w:rsid w:val="00F67D9E"/>
    <w:rsid w:val="00F807FB"/>
    <w:rsid w:val="00F85FB4"/>
    <w:rsid w:val="00FD0AE6"/>
    <w:rsid w:val="00FD6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5pt"/>
    </o:shapedefaults>
    <o:shapelayout v:ext="edit">
      <o:idmap v:ext="edit" data="2"/>
    </o:shapelayout>
  </w:shapeDefaults>
  <w:decimalSymbol w:val="."/>
  <w:listSeparator w:val=","/>
  <w14:docId w14:val="607937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F7A"/>
    <w:rPr>
      <w:rFonts w:ascii="Arial" w:hAnsi="Arial"/>
    </w:rPr>
  </w:style>
  <w:style w:type="paragraph" w:styleId="Heading1">
    <w:name w:val="heading 1"/>
    <w:basedOn w:val="Normal"/>
    <w:next w:val="Normal"/>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C4088"/>
    <w:pPr>
      <w:tabs>
        <w:tab w:val="clear" w:pos="3226"/>
        <w:tab w:val="left" w:pos="3222"/>
      </w:tabs>
      <w:ind w:left="3222" w:right="-18"/>
      <w:outlineLvl w:val="2"/>
    </w:pPr>
    <w:rPr>
      <w:b w:val="0"/>
    </w:rPr>
  </w:style>
  <w:style w:type="paragraph" w:styleId="Heading4">
    <w:name w:val="heading 4"/>
    <w:basedOn w:val="Normal"/>
    <w:next w:val="Normal"/>
    <w:qFormat/>
    <w:rsid w:val="00EC4088"/>
    <w:pPr>
      <w:keepNext/>
      <w:spacing w:before="800"/>
      <w:jc w:val="center"/>
      <w:outlineLvl w:val="3"/>
    </w:pPr>
    <w:rPr>
      <w:b/>
      <w:sz w:val="12"/>
    </w:rPr>
  </w:style>
  <w:style w:type="paragraph" w:styleId="Heading5">
    <w:name w:val="heading 5"/>
    <w:basedOn w:val="Normal"/>
    <w:next w:val="Normal"/>
    <w:qFormat/>
    <w:rsid w:val="00EC4088"/>
    <w:pPr>
      <w:keepNext/>
      <w:widowControl w:val="0"/>
      <w:jc w:val="center"/>
      <w:outlineLvl w:val="4"/>
    </w:pPr>
    <w:rPr>
      <w:b/>
      <w:sz w:val="24"/>
    </w:rPr>
  </w:style>
  <w:style w:type="paragraph" w:styleId="Heading6">
    <w:name w:val="heading 6"/>
    <w:basedOn w:val="Normal"/>
    <w:next w:val="Normal"/>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C408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ctext"/>
    <w:rsid w:val="00EC4088"/>
    <w:pPr>
      <w:tabs>
        <w:tab w:val="left" w:pos="1710"/>
      </w:tabs>
      <w:ind w:left="1710" w:hanging="810"/>
    </w:pPr>
    <w:rPr>
      <w:rFonts w:eastAsia="MS Mincho"/>
      <w:b/>
      <w:bCs/>
    </w:rPr>
  </w:style>
  <w:style w:type="paragraph" w:styleId="TOC4">
    <w:name w:val="toc 4"/>
    <w:basedOn w:val="Normal"/>
    <w:next w:val="Normal"/>
    <w:autoRedefine/>
    <w:semiHidden/>
    <w:rsid w:val="00EC4088"/>
    <w:pPr>
      <w:ind w:left="600"/>
    </w:pPr>
  </w:style>
  <w:style w:type="paragraph" w:customStyle="1" w:styleId="chead2">
    <w:name w:val="chead2"/>
    <w:link w:val="chead2Char"/>
    <w:rsid w:val="00A7399D"/>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link w:val="ctextChar"/>
    <w:rsid w:val="00EC4088"/>
    <w:pPr>
      <w:spacing w:before="120" w:after="60"/>
      <w:ind w:left="360"/>
    </w:pPr>
    <w:rPr>
      <w:sz w:val="21"/>
    </w:rPr>
  </w:style>
  <w:style w:type="paragraph" w:customStyle="1" w:styleId="CLETTERED">
    <w:name w:val="CLETTERED"/>
    <w:basedOn w:val="Normal"/>
    <w:link w:val="CLETTEREDChar"/>
    <w:rsid w:val="00EC4088"/>
    <w:pPr>
      <w:spacing w:before="100" w:after="100"/>
      <w:ind w:left="900" w:hanging="540"/>
    </w:pPr>
    <w:rPr>
      <w:rFonts w:eastAsia="MS Mincho"/>
      <w:sz w:val="21"/>
    </w:rPr>
  </w:style>
  <w:style w:type="paragraph" w:customStyle="1" w:styleId="cletteredindent">
    <w:name w:val="cletteredindent"/>
    <w:basedOn w:val="Normal"/>
    <w:rsid w:val="00EC4088"/>
    <w:pPr>
      <w:widowControl w:val="0"/>
      <w:spacing w:before="40" w:after="40" w:line="240" w:lineRule="atLeast"/>
      <w:ind w:left="1980" w:hanging="540"/>
    </w:pPr>
    <w:rPr>
      <w:sz w:val="21"/>
    </w:rPr>
  </w:style>
  <w:style w:type="paragraph" w:customStyle="1" w:styleId="cnumbered">
    <w:name w:val="cnumbered"/>
    <w:basedOn w:val="Normal"/>
    <w:link w:val="cnumberedChar"/>
    <w:rsid w:val="00EC4088"/>
    <w:pPr>
      <w:spacing w:before="60" w:after="60"/>
      <w:ind w:left="1440" w:hanging="533"/>
    </w:pPr>
    <w:rPr>
      <w:rFonts w:eastAsia="MS Mincho"/>
      <w:sz w:val="21"/>
    </w:rPr>
  </w:style>
  <w:style w:type="paragraph" w:styleId="BalloonText">
    <w:name w:val="Balloon Text"/>
    <w:basedOn w:val="Normal"/>
    <w:link w:val="BalloonTextChar"/>
    <w:rsid w:val="00EC4088"/>
    <w:rPr>
      <w:rFonts w:ascii="Tahoma" w:hAnsi="Tahoma" w:cs="Tahoma"/>
      <w:sz w:val="16"/>
      <w:szCs w:val="16"/>
    </w:rPr>
  </w:style>
  <w:style w:type="character" w:customStyle="1" w:styleId="BalloonTextChar">
    <w:name w:val="Balloon Text Char"/>
    <w:link w:val="BalloonText"/>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link w:val="cDate2Char"/>
    <w:rsid w:val="00A7399D"/>
    <w:pPr>
      <w:spacing w:before="240" w:after="60"/>
      <w:jc w:val="right"/>
    </w:pPr>
    <w:rPr>
      <w:rFonts w:ascii="Arial" w:hAnsi="Arial"/>
      <w:b/>
      <w:color w:val="1D73D6"/>
      <w:sz w:val="18"/>
    </w:rPr>
  </w:style>
  <w:style w:type="paragraph" w:styleId="TOC1">
    <w:name w:val="toc 1"/>
    <w:basedOn w:val="Normal"/>
    <w:next w:val="Normal"/>
    <w:autoRedefine/>
    <w:uiPriority w:val="39"/>
    <w:rsid w:val="00CB446F"/>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semiHidden/>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semiHidden/>
    <w:rsid w:val="00EC4088"/>
    <w:pPr>
      <w:ind w:left="400"/>
    </w:pPr>
  </w:style>
  <w:style w:type="paragraph" w:customStyle="1" w:styleId="ctableheading">
    <w:name w:val="ctableheading"/>
    <w:basedOn w:val="cTableText"/>
    <w:rsid w:val="00EC4088"/>
    <w:rPr>
      <w:b/>
      <w:bCs/>
      <w:color w:val="000000"/>
    </w:rPr>
  </w:style>
  <w:style w:type="paragraph" w:styleId="Header">
    <w:name w:val="header"/>
    <w:aliases w:val="PM HEADER"/>
    <w:basedOn w:val="Normal"/>
    <w:rsid w:val="00EC4088"/>
    <w:pPr>
      <w:pBdr>
        <w:bottom w:val="single" w:sz="4" w:space="1" w:color="000000"/>
      </w:pBdr>
      <w:tabs>
        <w:tab w:val="right" w:pos="9720"/>
      </w:tabs>
      <w:ind w:left="-360" w:right="-360"/>
    </w:pPr>
    <w:rPr>
      <w:b/>
      <w:snapToGrid w:val="0"/>
      <w:sz w:val="18"/>
    </w:rPr>
  </w:style>
  <w:style w:type="paragraph" w:styleId="Footer">
    <w:name w:val="footer"/>
    <w:basedOn w:val="Normal"/>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semiHidden/>
    <w:rsid w:val="00EC4088"/>
    <w:pPr>
      <w:ind w:left="1000"/>
    </w:pPr>
  </w:style>
  <w:style w:type="paragraph" w:customStyle="1" w:styleId="ctablespace">
    <w:name w:val="ctablespace"/>
    <w:basedOn w:val="ctext"/>
    <w:rsid w:val="00EC4088"/>
    <w:pPr>
      <w:spacing w:before="0" w:after="0"/>
    </w:pPr>
  </w:style>
  <w:style w:type="paragraph" w:styleId="TOC7">
    <w:name w:val="toc 7"/>
    <w:basedOn w:val="Normal"/>
    <w:next w:val="Normal"/>
    <w:autoRedefine/>
    <w:semiHidden/>
    <w:rsid w:val="00EC4088"/>
    <w:pPr>
      <w:ind w:left="1200"/>
    </w:pPr>
  </w:style>
  <w:style w:type="paragraph" w:styleId="TOC8">
    <w:name w:val="toc 8"/>
    <w:basedOn w:val="Normal"/>
    <w:next w:val="Normal"/>
    <w:autoRedefine/>
    <w:semiHidden/>
    <w:rsid w:val="00EC4088"/>
    <w:pPr>
      <w:ind w:left="1400"/>
    </w:pPr>
  </w:style>
  <w:style w:type="paragraph" w:styleId="TOC9">
    <w:name w:val="toc 9"/>
    <w:basedOn w:val="Normal"/>
    <w:next w:val="Normal"/>
    <w:autoRedefine/>
    <w:semiHidden/>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basedOn w:val="BodyText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basedOn w:val="BodyTextIndent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rsid w:val="00EC4088"/>
  </w:style>
  <w:style w:type="character" w:customStyle="1" w:styleId="CommentTextChar">
    <w:name w:val="Comment Text Char"/>
    <w:link w:val="CommentText"/>
    <w:rsid w:val="00EC4088"/>
    <w:rPr>
      <w:rFonts w:ascii="Arial" w:hAnsi="Arial"/>
    </w:rPr>
  </w:style>
  <w:style w:type="paragraph" w:styleId="CommentSubject">
    <w:name w:val="annotation subject"/>
    <w:basedOn w:val="CommentText"/>
    <w:next w:val="CommentText"/>
    <w:link w:val="CommentSubjectChar"/>
    <w:rsid w:val="00EC4088"/>
    <w:rPr>
      <w:b/>
      <w:bCs/>
    </w:rPr>
  </w:style>
  <w:style w:type="character" w:customStyle="1" w:styleId="CommentSubjectChar">
    <w:name w:val="Comment Subject Char"/>
    <w:link w:val="CommentSubject"/>
    <w:rsid w:val="00EC4088"/>
    <w:rPr>
      <w:rFonts w:ascii="Arial" w:hAnsi="Arial"/>
      <w:b/>
      <w:bCs/>
    </w:rPr>
  </w:style>
  <w:style w:type="paragraph" w:styleId="Date">
    <w:name w:val="Date"/>
    <w:basedOn w:val="Normal"/>
    <w:next w:val="Normal"/>
    <w:link w:val="DateChar"/>
    <w:rsid w:val="00EC4088"/>
  </w:style>
  <w:style w:type="character" w:customStyle="1" w:styleId="DateChar">
    <w:name w:val="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cs="Tahoma"/>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rsid w:val="00EC4088"/>
    <w:pPr>
      <w:spacing w:before="60" w:after="60"/>
    </w:pPr>
    <w:rPr>
      <w:sz w:val="21"/>
    </w:rPr>
  </w:style>
  <w:style w:type="paragraph" w:styleId="FootnoteText">
    <w:name w:val="footnote text"/>
    <w:basedOn w:val="Normal"/>
    <w:link w:val="FootnoteTextChar"/>
    <w:rsid w:val="00EC4088"/>
  </w:style>
  <w:style w:type="character" w:customStyle="1" w:styleId="FootnoteTextChar">
    <w:name w:val="Footnote Text Char"/>
    <w:link w:val="FootnoteText"/>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cs="Courier New"/>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6"/>
      </w:numPr>
    </w:pPr>
  </w:style>
  <w:style w:type="paragraph" w:styleId="ListBullet2">
    <w:name w:val="List Bullet 2"/>
    <w:basedOn w:val="Normal"/>
    <w:rsid w:val="00EC4088"/>
    <w:pPr>
      <w:numPr>
        <w:numId w:val="8"/>
      </w:numPr>
    </w:pPr>
  </w:style>
  <w:style w:type="paragraph" w:styleId="ListBullet3">
    <w:name w:val="List Bullet 3"/>
    <w:basedOn w:val="Normal"/>
    <w:rsid w:val="00EC4088"/>
    <w:pPr>
      <w:numPr>
        <w:numId w:val="10"/>
      </w:numPr>
    </w:pPr>
  </w:style>
  <w:style w:type="paragraph" w:styleId="ListBullet4">
    <w:name w:val="List Bullet 4"/>
    <w:basedOn w:val="Normal"/>
    <w:rsid w:val="00EC4088"/>
    <w:pPr>
      <w:numPr>
        <w:numId w:val="12"/>
      </w:numPr>
    </w:pPr>
  </w:style>
  <w:style w:type="paragraph" w:styleId="ListBullet5">
    <w:name w:val="List Bullet 5"/>
    <w:basedOn w:val="Normal"/>
    <w:rsid w:val="00EC4088"/>
    <w:pPr>
      <w:numPr>
        <w:numId w:val="14"/>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16"/>
      </w:numPr>
    </w:pPr>
  </w:style>
  <w:style w:type="paragraph" w:styleId="ListNumber2">
    <w:name w:val="List Number 2"/>
    <w:basedOn w:val="Normal"/>
    <w:rsid w:val="00EC4088"/>
    <w:pPr>
      <w:numPr>
        <w:numId w:val="18"/>
      </w:numPr>
    </w:pPr>
  </w:style>
  <w:style w:type="paragraph" w:styleId="ListNumber3">
    <w:name w:val="List Number 3"/>
    <w:basedOn w:val="Normal"/>
    <w:rsid w:val="00EC4088"/>
    <w:pPr>
      <w:numPr>
        <w:numId w:val="20"/>
      </w:numPr>
    </w:pPr>
  </w:style>
  <w:style w:type="paragraph" w:styleId="ListNumber4">
    <w:name w:val="List Number 4"/>
    <w:basedOn w:val="Normal"/>
    <w:rsid w:val="00EC4088"/>
    <w:pPr>
      <w:numPr>
        <w:numId w:val="22"/>
      </w:numPr>
    </w:pPr>
  </w:style>
  <w:style w:type="paragraph" w:styleId="ListNumber5">
    <w:name w:val="List Number 5"/>
    <w:basedOn w:val="Normal"/>
    <w:rsid w:val="00EC4088"/>
    <w:pPr>
      <w:numPr>
        <w:numId w:val="24"/>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rsid w:val="00EC4088"/>
    <w:rPr>
      <w:rFonts w:ascii="Courier New" w:hAnsi="Courier New" w:cs="Courier New"/>
    </w:rPr>
  </w:style>
  <w:style w:type="character" w:customStyle="1" w:styleId="PlainTextChar">
    <w:name w:val="Plain Text Char"/>
    <w:link w:val="PlainText"/>
    <w:rsid w:val="00EC4088"/>
    <w:rPr>
      <w:rFonts w:ascii="Courier New" w:hAnsi="Courier New" w:cs="Courier New"/>
    </w:rPr>
  </w:style>
  <w:style w:type="paragraph" w:styleId="Salutation">
    <w:name w:val="Salutation"/>
    <w:basedOn w:val="Normal"/>
    <w:next w:val="Normal"/>
    <w:link w:val="SalutationChar"/>
    <w:rsid w:val="00EC4088"/>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rFonts w:cs="Arial"/>
      <w:sz w:val="24"/>
      <w:szCs w:val="24"/>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rFonts w:cs="Arial"/>
      <w:b/>
      <w:bCs/>
      <w:kern w:val="28"/>
      <w:sz w:val="32"/>
      <w:szCs w:val="32"/>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paragraph" w:customStyle="1" w:styleId="cctableheading">
    <w:name w:val="cctableheading"/>
    <w:basedOn w:val="ctableheading"/>
    <w:link w:val="cctableheadingChar"/>
    <w:qFormat/>
    <w:rsid w:val="006B241B"/>
    <w:rPr>
      <w:sz w:val="20"/>
      <w:lang w:val="x-none" w:eastAsia="x-none"/>
    </w:rPr>
  </w:style>
  <w:style w:type="character" w:customStyle="1" w:styleId="cctableheadingChar">
    <w:name w:val="cctableheading Char"/>
    <w:link w:val="cctableheading"/>
    <w:rsid w:val="006B241B"/>
    <w:rPr>
      <w:rFonts w:ascii="Arial" w:hAnsi="Arial"/>
      <w:b/>
      <w:bCs/>
      <w:color w:val="000000"/>
      <w:lang w:val="x-none" w:eastAsia="x-none"/>
    </w:rPr>
  </w:style>
  <w:style w:type="paragraph" w:customStyle="1" w:styleId="ccTableText">
    <w:name w:val="ccTableText"/>
    <w:basedOn w:val="cTableText"/>
    <w:link w:val="ccTableTextChar"/>
    <w:qFormat/>
    <w:rsid w:val="006B241B"/>
    <w:rPr>
      <w:sz w:val="20"/>
      <w:lang w:val="x-none" w:eastAsia="x-none"/>
    </w:rPr>
  </w:style>
  <w:style w:type="character" w:customStyle="1" w:styleId="ccTableTextChar">
    <w:name w:val="ccTableText Char"/>
    <w:link w:val="ccTableText"/>
    <w:rsid w:val="006B241B"/>
    <w:rPr>
      <w:rFonts w:ascii="Arial" w:hAnsi="Arial"/>
      <w:lang w:val="x-none" w:eastAsia="x-none"/>
    </w:rPr>
  </w:style>
  <w:style w:type="paragraph" w:customStyle="1" w:styleId="ccTableTextCodeWithNote">
    <w:name w:val="ccTableTextCodeWithNote"/>
    <w:basedOn w:val="ccTableText"/>
    <w:link w:val="ccTableTextCodeWithNoteChar"/>
    <w:qFormat/>
    <w:rsid w:val="006B241B"/>
    <w:pPr>
      <w:keepNext/>
    </w:pPr>
  </w:style>
  <w:style w:type="character" w:customStyle="1" w:styleId="ccTableTextCodeWithNoteChar">
    <w:name w:val="ccTableTextCodeWithNote Char"/>
    <w:link w:val="ccTableTextCodeWithNote"/>
    <w:rsid w:val="006B241B"/>
    <w:rPr>
      <w:rFonts w:ascii="Arial" w:hAnsi="Arial"/>
      <w:lang w:val="x-none" w:eastAsia="x-none"/>
    </w:rPr>
  </w:style>
  <w:style w:type="paragraph" w:customStyle="1" w:styleId="ccTableTextNote">
    <w:name w:val="ccTableTextNote"/>
    <w:basedOn w:val="Note"/>
    <w:link w:val="ccTableTextNoteChar"/>
    <w:qFormat/>
    <w:rsid w:val="006B241B"/>
    <w:pPr>
      <w:ind w:left="806" w:hanging="806"/>
    </w:pPr>
    <w:rPr>
      <w:b w:val="0"/>
      <w:lang w:val="x-none" w:eastAsia="x-none"/>
    </w:rPr>
  </w:style>
  <w:style w:type="character" w:customStyle="1" w:styleId="ccTableTextNoteChar">
    <w:name w:val="ccTableTextNote Char"/>
    <w:link w:val="ccTableTextNote"/>
    <w:rsid w:val="006B241B"/>
    <w:rPr>
      <w:rFonts w:ascii="Arial" w:eastAsia="MS Mincho" w:hAnsi="Arial"/>
      <w:bCs/>
      <w:sz w:val="21"/>
      <w:lang w:val="x-none" w:eastAsia="x-none"/>
    </w:rPr>
  </w:style>
  <w:style w:type="character" w:customStyle="1" w:styleId="CLETTEREDChar">
    <w:name w:val="CLETTERED Char"/>
    <w:link w:val="CLETTERED"/>
    <w:rsid w:val="00FD6F7A"/>
    <w:rPr>
      <w:rFonts w:ascii="Arial" w:eastAsia="MS Mincho" w:hAnsi="Arial"/>
      <w:sz w:val="21"/>
    </w:rPr>
  </w:style>
  <w:style w:type="character" w:customStyle="1" w:styleId="cnumberedChar">
    <w:name w:val="cnumbered Char"/>
    <w:link w:val="cnumbered"/>
    <w:rsid w:val="00FD6F7A"/>
    <w:rPr>
      <w:rFonts w:ascii="Arial" w:eastAsia="MS Mincho" w:hAnsi="Arial"/>
      <w:sz w:val="21"/>
    </w:rPr>
  </w:style>
  <w:style w:type="character" w:customStyle="1" w:styleId="ctextChar">
    <w:name w:val="ctext Char"/>
    <w:link w:val="ctext"/>
    <w:rsid w:val="00FD6F7A"/>
    <w:rPr>
      <w:rFonts w:ascii="Arial" w:hAnsi="Arial"/>
      <w:sz w:val="21"/>
    </w:rPr>
  </w:style>
  <w:style w:type="character" w:customStyle="1" w:styleId="chead2Char">
    <w:name w:val="chead2 Char"/>
    <w:link w:val="chead2"/>
    <w:rsid w:val="00FD6F7A"/>
    <w:rPr>
      <w:rFonts w:ascii="Arial" w:hAnsi="Arial"/>
      <w:b/>
      <w:color w:val="1D73D6"/>
    </w:rPr>
  </w:style>
  <w:style w:type="character" w:customStyle="1" w:styleId="cDate2Char">
    <w:name w:val="cDate2 Char"/>
    <w:link w:val="cDate2"/>
    <w:rsid w:val="00FD6F7A"/>
    <w:rPr>
      <w:rFonts w:ascii="Arial" w:hAnsi="Arial"/>
      <w:b/>
      <w:color w:val="1D73D6"/>
      <w:sz w:val="18"/>
    </w:rPr>
  </w:style>
  <w:style w:type="character" w:styleId="UnresolvedMention">
    <w:name w:val="Unresolved Mention"/>
    <w:uiPriority w:val="99"/>
    <w:semiHidden/>
    <w:unhideWhenUsed/>
    <w:rsid w:val="00593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348">
      <w:bodyDiv w:val="1"/>
      <w:marLeft w:val="0"/>
      <w:marRight w:val="0"/>
      <w:marTop w:val="0"/>
      <w:marBottom w:val="0"/>
      <w:divBdr>
        <w:top w:val="none" w:sz="0" w:space="0" w:color="auto"/>
        <w:left w:val="none" w:sz="0" w:space="0" w:color="auto"/>
        <w:bottom w:val="none" w:sz="0" w:space="0" w:color="auto"/>
        <w:right w:val="none" w:sz="0" w:space="0" w:color="auto"/>
      </w:divBdr>
    </w:div>
    <w:div w:id="13774865">
      <w:bodyDiv w:val="1"/>
      <w:marLeft w:val="0"/>
      <w:marRight w:val="0"/>
      <w:marTop w:val="0"/>
      <w:marBottom w:val="0"/>
      <w:divBdr>
        <w:top w:val="none" w:sz="0" w:space="0" w:color="auto"/>
        <w:left w:val="none" w:sz="0" w:space="0" w:color="auto"/>
        <w:bottom w:val="none" w:sz="0" w:space="0" w:color="auto"/>
        <w:right w:val="none" w:sz="0" w:space="0" w:color="auto"/>
      </w:divBdr>
    </w:div>
    <w:div w:id="71511317">
      <w:bodyDiv w:val="1"/>
      <w:marLeft w:val="0"/>
      <w:marRight w:val="0"/>
      <w:marTop w:val="0"/>
      <w:marBottom w:val="0"/>
      <w:divBdr>
        <w:top w:val="none" w:sz="0" w:space="0" w:color="auto"/>
        <w:left w:val="none" w:sz="0" w:space="0" w:color="auto"/>
        <w:bottom w:val="none" w:sz="0" w:space="0" w:color="auto"/>
        <w:right w:val="none" w:sz="0" w:space="0" w:color="auto"/>
      </w:divBdr>
    </w:div>
    <w:div w:id="108667788">
      <w:bodyDiv w:val="1"/>
      <w:marLeft w:val="0"/>
      <w:marRight w:val="0"/>
      <w:marTop w:val="0"/>
      <w:marBottom w:val="0"/>
      <w:divBdr>
        <w:top w:val="none" w:sz="0" w:space="0" w:color="auto"/>
        <w:left w:val="none" w:sz="0" w:space="0" w:color="auto"/>
        <w:bottom w:val="none" w:sz="0" w:space="0" w:color="auto"/>
        <w:right w:val="none" w:sz="0" w:space="0" w:color="auto"/>
      </w:divBdr>
    </w:div>
    <w:div w:id="145438596">
      <w:bodyDiv w:val="1"/>
      <w:marLeft w:val="0"/>
      <w:marRight w:val="0"/>
      <w:marTop w:val="0"/>
      <w:marBottom w:val="0"/>
      <w:divBdr>
        <w:top w:val="none" w:sz="0" w:space="0" w:color="auto"/>
        <w:left w:val="none" w:sz="0" w:space="0" w:color="auto"/>
        <w:bottom w:val="none" w:sz="0" w:space="0" w:color="auto"/>
        <w:right w:val="none" w:sz="0" w:space="0" w:color="auto"/>
      </w:divBdr>
    </w:div>
    <w:div w:id="245579561">
      <w:bodyDiv w:val="1"/>
      <w:marLeft w:val="0"/>
      <w:marRight w:val="0"/>
      <w:marTop w:val="0"/>
      <w:marBottom w:val="0"/>
      <w:divBdr>
        <w:top w:val="none" w:sz="0" w:space="0" w:color="auto"/>
        <w:left w:val="none" w:sz="0" w:space="0" w:color="auto"/>
        <w:bottom w:val="none" w:sz="0" w:space="0" w:color="auto"/>
        <w:right w:val="none" w:sz="0" w:space="0" w:color="auto"/>
      </w:divBdr>
    </w:div>
    <w:div w:id="294212920">
      <w:bodyDiv w:val="1"/>
      <w:marLeft w:val="0"/>
      <w:marRight w:val="0"/>
      <w:marTop w:val="0"/>
      <w:marBottom w:val="0"/>
      <w:divBdr>
        <w:top w:val="none" w:sz="0" w:space="0" w:color="auto"/>
        <w:left w:val="none" w:sz="0" w:space="0" w:color="auto"/>
        <w:bottom w:val="none" w:sz="0" w:space="0" w:color="auto"/>
        <w:right w:val="none" w:sz="0" w:space="0" w:color="auto"/>
      </w:divBdr>
    </w:div>
    <w:div w:id="314917820">
      <w:bodyDiv w:val="1"/>
      <w:marLeft w:val="0"/>
      <w:marRight w:val="0"/>
      <w:marTop w:val="0"/>
      <w:marBottom w:val="0"/>
      <w:divBdr>
        <w:top w:val="none" w:sz="0" w:space="0" w:color="auto"/>
        <w:left w:val="none" w:sz="0" w:space="0" w:color="auto"/>
        <w:bottom w:val="none" w:sz="0" w:space="0" w:color="auto"/>
        <w:right w:val="none" w:sz="0" w:space="0" w:color="auto"/>
      </w:divBdr>
    </w:div>
    <w:div w:id="384186294">
      <w:bodyDiv w:val="1"/>
      <w:marLeft w:val="0"/>
      <w:marRight w:val="0"/>
      <w:marTop w:val="0"/>
      <w:marBottom w:val="0"/>
      <w:divBdr>
        <w:top w:val="none" w:sz="0" w:space="0" w:color="auto"/>
        <w:left w:val="none" w:sz="0" w:space="0" w:color="auto"/>
        <w:bottom w:val="none" w:sz="0" w:space="0" w:color="auto"/>
        <w:right w:val="none" w:sz="0" w:space="0" w:color="auto"/>
      </w:divBdr>
    </w:div>
    <w:div w:id="385497657">
      <w:bodyDiv w:val="1"/>
      <w:marLeft w:val="0"/>
      <w:marRight w:val="0"/>
      <w:marTop w:val="0"/>
      <w:marBottom w:val="0"/>
      <w:divBdr>
        <w:top w:val="none" w:sz="0" w:space="0" w:color="auto"/>
        <w:left w:val="none" w:sz="0" w:space="0" w:color="auto"/>
        <w:bottom w:val="none" w:sz="0" w:space="0" w:color="auto"/>
        <w:right w:val="none" w:sz="0" w:space="0" w:color="auto"/>
      </w:divBdr>
    </w:div>
    <w:div w:id="437288357">
      <w:bodyDiv w:val="1"/>
      <w:marLeft w:val="0"/>
      <w:marRight w:val="0"/>
      <w:marTop w:val="0"/>
      <w:marBottom w:val="0"/>
      <w:divBdr>
        <w:top w:val="none" w:sz="0" w:space="0" w:color="auto"/>
        <w:left w:val="none" w:sz="0" w:space="0" w:color="auto"/>
        <w:bottom w:val="none" w:sz="0" w:space="0" w:color="auto"/>
        <w:right w:val="none" w:sz="0" w:space="0" w:color="auto"/>
      </w:divBdr>
    </w:div>
    <w:div w:id="439759581">
      <w:bodyDiv w:val="1"/>
      <w:marLeft w:val="0"/>
      <w:marRight w:val="0"/>
      <w:marTop w:val="0"/>
      <w:marBottom w:val="0"/>
      <w:divBdr>
        <w:top w:val="none" w:sz="0" w:space="0" w:color="auto"/>
        <w:left w:val="none" w:sz="0" w:space="0" w:color="auto"/>
        <w:bottom w:val="none" w:sz="0" w:space="0" w:color="auto"/>
        <w:right w:val="none" w:sz="0" w:space="0" w:color="auto"/>
      </w:divBdr>
    </w:div>
    <w:div w:id="440488674">
      <w:bodyDiv w:val="1"/>
      <w:marLeft w:val="0"/>
      <w:marRight w:val="0"/>
      <w:marTop w:val="0"/>
      <w:marBottom w:val="0"/>
      <w:divBdr>
        <w:top w:val="none" w:sz="0" w:space="0" w:color="auto"/>
        <w:left w:val="none" w:sz="0" w:space="0" w:color="auto"/>
        <w:bottom w:val="none" w:sz="0" w:space="0" w:color="auto"/>
        <w:right w:val="none" w:sz="0" w:space="0" w:color="auto"/>
      </w:divBdr>
    </w:div>
    <w:div w:id="442304901">
      <w:bodyDiv w:val="1"/>
      <w:marLeft w:val="0"/>
      <w:marRight w:val="0"/>
      <w:marTop w:val="0"/>
      <w:marBottom w:val="0"/>
      <w:divBdr>
        <w:top w:val="none" w:sz="0" w:space="0" w:color="auto"/>
        <w:left w:val="none" w:sz="0" w:space="0" w:color="auto"/>
        <w:bottom w:val="none" w:sz="0" w:space="0" w:color="auto"/>
        <w:right w:val="none" w:sz="0" w:space="0" w:color="auto"/>
      </w:divBdr>
    </w:div>
    <w:div w:id="456796526">
      <w:bodyDiv w:val="1"/>
      <w:marLeft w:val="0"/>
      <w:marRight w:val="0"/>
      <w:marTop w:val="0"/>
      <w:marBottom w:val="0"/>
      <w:divBdr>
        <w:top w:val="none" w:sz="0" w:space="0" w:color="auto"/>
        <w:left w:val="none" w:sz="0" w:space="0" w:color="auto"/>
        <w:bottom w:val="none" w:sz="0" w:space="0" w:color="auto"/>
        <w:right w:val="none" w:sz="0" w:space="0" w:color="auto"/>
      </w:divBdr>
    </w:div>
    <w:div w:id="603070842">
      <w:bodyDiv w:val="1"/>
      <w:marLeft w:val="0"/>
      <w:marRight w:val="0"/>
      <w:marTop w:val="0"/>
      <w:marBottom w:val="0"/>
      <w:divBdr>
        <w:top w:val="none" w:sz="0" w:space="0" w:color="auto"/>
        <w:left w:val="none" w:sz="0" w:space="0" w:color="auto"/>
        <w:bottom w:val="none" w:sz="0" w:space="0" w:color="auto"/>
        <w:right w:val="none" w:sz="0" w:space="0" w:color="auto"/>
      </w:divBdr>
    </w:div>
    <w:div w:id="671110238">
      <w:bodyDiv w:val="1"/>
      <w:marLeft w:val="0"/>
      <w:marRight w:val="0"/>
      <w:marTop w:val="0"/>
      <w:marBottom w:val="0"/>
      <w:divBdr>
        <w:top w:val="none" w:sz="0" w:space="0" w:color="auto"/>
        <w:left w:val="none" w:sz="0" w:space="0" w:color="auto"/>
        <w:bottom w:val="none" w:sz="0" w:space="0" w:color="auto"/>
        <w:right w:val="none" w:sz="0" w:space="0" w:color="auto"/>
      </w:divBdr>
    </w:div>
    <w:div w:id="699091194">
      <w:bodyDiv w:val="1"/>
      <w:marLeft w:val="0"/>
      <w:marRight w:val="0"/>
      <w:marTop w:val="0"/>
      <w:marBottom w:val="0"/>
      <w:divBdr>
        <w:top w:val="none" w:sz="0" w:space="0" w:color="auto"/>
        <w:left w:val="none" w:sz="0" w:space="0" w:color="auto"/>
        <w:bottom w:val="none" w:sz="0" w:space="0" w:color="auto"/>
        <w:right w:val="none" w:sz="0" w:space="0" w:color="auto"/>
      </w:divBdr>
    </w:div>
    <w:div w:id="700394971">
      <w:bodyDiv w:val="1"/>
      <w:marLeft w:val="0"/>
      <w:marRight w:val="0"/>
      <w:marTop w:val="0"/>
      <w:marBottom w:val="0"/>
      <w:divBdr>
        <w:top w:val="none" w:sz="0" w:space="0" w:color="auto"/>
        <w:left w:val="none" w:sz="0" w:space="0" w:color="auto"/>
        <w:bottom w:val="none" w:sz="0" w:space="0" w:color="auto"/>
        <w:right w:val="none" w:sz="0" w:space="0" w:color="auto"/>
      </w:divBdr>
    </w:div>
    <w:div w:id="700866025">
      <w:bodyDiv w:val="1"/>
      <w:marLeft w:val="0"/>
      <w:marRight w:val="0"/>
      <w:marTop w:val="0"/>
      <w:marBottom w:val="0"/>
      <w:divBdr>
        <w:top w:val="none" w:sz="0" w:space="0" w:color="auto"/>
        <w:left w:val="none" w:sz="0" w:space="0" w:color="auto"/>
        <w:bottom w:val="none" w:sz="0" w:space="0" w:color="auto"/>
        <w:right w:val="none" w:sz="0" w:space="0" w:color="auto"/>
      </w:divBdr>
    </w:div>
    <w:div w:id="736635786">
      <w:bodyDiv w:val="1"/>
      <w:marLeft w:val="0"/>
      <w:marRight w:val="0"/>
      <w:marTop w:val="0"/>
      <w:marBottom w:val="0"/>
      <w:divBdr>
        <w:top w:val="none" w:sz="0" w:space="0" w:color="auto"/>
        <w:left w:val="none" w:sz="0" w:space="0" w:color="auto"/>
        <w:bottom w:val="none" w:sz="0" w:space="0" w:color="auto"/>
        <w:right w:val="none" w:sz="0" w:space="0" w:color="auto"/>
      </w:divBdr>
    </w:div>
    <w:div w:id="763576416">
      <w:bodyDiv w:val="1"/>
      <w:marLeft w:val="0"/>
      <w:marRight w:val="0"/>
      <w:marTop w:val="0"/>
      <w:marBottom w:val="0"/>
      <w:divBdr>
        <w:top w:val="none" w:sz="0" w:space="0" w:color="auto"/>
        <w:left w:val="none" w:sz="0" w:space="0" w:color="auto"/>
        <w:bottom w:val="none" w:sz="0" w:space="0" w:color="auto"/>
        <w:right w:val="none" w:sz="0" w:space="0" w:color="auto"/>
      </w:divBdr>
    </w:div>
    <w:div w:id="882983066">
      <w:bodyDiv w:val="1"/>
      <w:marLeft w:val="0"/>
      <w:marRight w:val="0"/>
      <w:marTop w:val="0"/>
      <w:marBottom w:val="0"/>
      <w:divBdr>
        <w:top w:val="none" w:sz="0" w:space="0" w:color="auto"/>
        <w:left w:val="none" w:sz="0" w:space="0" w:color="auto"/>
        <w:bottom w:val="none" w:sz="0" w:space="0" w:color="auto"/>
        <w:right w:val="none" w:sz="0" w:space="0" w:color="auto"/>
      </w:divBdr>
    </w:div>
    <w:div w:id="913782928">
      <w:bodyDiv w:val="1"/>
      <w:marLeft w:val="0"/>
      <w:marRight w:val="0"/>
      <w:marTop w:val="0"/>
      <w:marBottom w:val="0"/>
      <w:divBdr>
        <w:top w:val="none" w:sz="0" w:space="0" w:color="auto"/>
        <w:left w:val="none" w:sz="0" w:space="0" w:color="auto"/>
        <w:bottom w:val="none" w:sz="0" w:space="0" w:color="auto"/>
        <w:right w:val="none" w:sz="0" w:space="0" w:color="auto"/>
      </w:divBdr>
    </w:div>
    <w:div w:id="988439603">
      <w:bodyDiv w:val="1"/>
      <w:marLeft w:val="0"/>
      <w:marRight w:val="0"/>
      <w:marTop w:val="0"/>
      <w:marBottom w:val="0"/>
      <w:divBdr>
        <w:top w:val="none" w:sz="0" w:space="0" w:color="auto"/>
        <w:left w:val="none" w:sz="0" w:space="0" w:color="auto"/>
        <w:bottom w:val="none" w:sz="0" w:space="0" w:color="auto"/>
        <w:right w:val="none" w:sz="0" w:space="0" w:color="auto"/>
      </w:divBdr>
    </w:div>
    <w:div w:id="1046027720">
      <w:bodyDiv w:val="1"/>
      <w:marLeft w:val="0"/>
      <w:marRight w:val="0"/>
      <w:marTop w:val="0"/>
      <w:marBottom w:val="0"/>
      <w:divBdr>
        <w:top w:val="none" w:sz="0" w:space="0" w:color="auto"/>
        <w:left w:val="none" w:sz="0" w:space="0" w:color="auto"/>
        <w:bottom w:val="none" w:sz="0" w:space="0" w:color="auto"/>
        <w:right w:val="none" w:sz="0" w:space="0" w:color="auto"/>
      </w:divBdr>
    </w:div>
    <w:div w:id="1188710787">
      <w:bodyDiv w:val="1"/>
      <w:marLeft w:val="0"/>
      <w:marRight w:val="0"/>
      <w:marTop w:val="0"/>
      <w:marBottom w:val="0"/>
      <w:divBdr>
        <w:top w:val="none" w:sz="0" w:space="0" w:color="auto"/>
        <w:left w:val="none" w:sz="0" w:space="0" w:color="auto"/>
        <w:bottom w:val="none" w:sz="0" w:space="0" w:color="auto"/>
        <w:right w:val="none" w:sz="0" w:space="0" w:color="auto"/>
      </w:divBdr>
    </w:div>
    <w:div w:id="1351057378">
      <w:bodyDiv w:val="1"/>
      <w:marLeft w:val="0"/>
      <w:marRight w:val="0"/>
      <w:marTop w:val="0"/>
      <w:marBottom w:val="0"/>
      <w:divBdr>
        <w:top w:val="none" w:sz="0" w:space="0" w:color="auto"/>
        <w:left w:val="none" w:sz="0" w:space="0" w:color="auto"/>
        <w:bottom w:val="none" w:sz="0" w:space="0" w:color="auto"/>
        <w:right w:val="none" w:sz="0" w:space="0" w:color="auto"/>
      </w:divBdr>
    </w:div>
    <w:div w:id="1422870939">
      <w:bodyDiv w:val="1"/>
      <w:marLeft w:val="0"/>
      <w:marRight w:val="0"/>
      <w:marTop w:val="0"/>
      <w:marBottom w:val="0"/>
      <w:divBdr>
        <w:top w:val="none" w:sz="0" w:space="0" w:color="auto"/>
        <w:left w:val="none" w:sz="0" w:space="0" w:color="auto"/>
        <w:bottom w:val="none" w:sz="0" w:space="0" w:color="auto"/>
        <w:right w:val="none" w:sz="0" w:space="0" w:color="auto"/>
      </w:divBdr>
    </w:div>
    <w:div w:id="1434933751">
      <w:bodyDiv w:val="1"/>
      <w:marLeft w:val="0"/>
      <w:marRight w:val="0"/>
      <w:marTop w:val="0"/>
      <w:marBottom w:val="0"/>
      <w:divBdr>
        <w:top w:val="none" w:sz="0" w:space="0" w:color="auto"/>
        <w:left w:val="none" w:sz="0" w:space="0" w:color="auto"/>
        <w:bottom w:val="none" w:sz="0" w:space="0" w:color="auto"/>
        <w:right w:val="none" w:sz="0" w:space="0" w:color="auto"/>
      </w:divBdr>
    </w:div>
    <w:div w:id="1547444554">
      <w:bodyDiv w:val="1"/>
      <w:marLeft w:val="0"/>
      <w:marRight w:val="0"/>
      <w:marTop w:val="0"/>
      <w:marBottom w:val="0"/>
      <w:divBdr>
        <w:top w:val="none" w:sz="0" w:space="0" w:color="auto"/>
        <w:left w:val="none" w:sz="0" w:space="0" w:color="auto"/>
        <w:bottom w:val="none" w:sz="0" w:space="0" w:color="auto"/>
        <w:right w:val="none" w:sz="0" w:space="0" w:color="auto"/>
      </w:divBdr>
    </w:div>
    <w:div w:id="1601067015">
      <w:bodyDiv w:val="1"/>
      <w:marLeft w:val="0"/>
      <w:marRight w:val="0"/>
      <w:marTop w:val="0"/>
      <w:marBottom w:val="0"/>
      <w:divBdr>
        <w:top w:val="none" w:sz="0" w:space="0" w:color="auto"/>
        <w:left w:val="none" w:sz="0" w:space="0" w:color="auto"/>
        <w:bottom w:val="none" w:sz="0" w:space="0" w:color="auto"/>
        <w:right w:val="none" w:sz="0" w:space="0" w:color="auto"/>
      </w:divBdr>
    </w:div>
    <w:div w:id="1619723554">
      <w:bodyDiv w:val="1"/>
      <w:marLeft w:val="0"/>
      <w:marRight w:val="0"/>
      <w:marTop w:val="0"/>
      <w:marBottom w:val="0"/>
      <w:divBdr>
        <w:top w:val="none" w:sz="0" w:space="0" w:color="auto"/>
        <w:left w:val="none" w:sz="0" w:space="0" w:color="auto"/>
        <w:bottom w:val="none" w:sz="0" w:space="0" w:color="auto"/>
        <w:right w:val="none" w:sz="0" w:space="0" w:color="auto"/>
      </w:divBdr>
    </w:div>
    <w:div w:id="1647539973">
      <w:bodyDiv w:val="1"/>
      <w:marLeft w:val="0"/>
      <w:marRight w:val="0"/>
      <w:marTop w:val="0"/>
      <w:marBottom w:val="0"/>
      <w:divBdr>
        <w:top w:val="none" w:sz="0" w:space="0" w:color="auto"/>
        <w:left w:val="none" w:sz="0" w:space="0" w:color="auto"/>
        <w:bottom w:val="none" w:sz="0" w:space="0" w:color="auto"/>
        <w:right w:val="none" w:sz="0" w:space="0" w:color="auto"/>
      </w:divBdr>
    </w:div>
    <w:div w:id="1810440356">
      <w:bodyDiv w:val="1"/>
      <w:marLeft w:val="0"/>
      <w:marRight w:val="0"/>
      <w:marTop w:val="0"/>
      <w:marBottom w:val="0"/>
      <w:divBdr>
        <w:top w:val="none" w:sz="0" w:space="0" w:color="auto"/>
        <w:left w:val="none" w:sz="0" w:space="0" w:color="auto"/>
        <w:bottom w:val="none" w:sz="0" w:space="0" w:color="auto"/>
        <w:right w:val="none" w:sz="0" w:space="0" w:color="auto"/>
      </w:divBdr>
    </w:div>
    <w:div w:id="1870945242">
      <w:bodyDiv w:val="1"/>
      <w:marLeft w:val="0"/>
      <w:marRight w:val="0"/>
      <w:marTop w:val="0"/>
      <w:marBottom w:val="0"/>
      <w:divBdr>
        <w:top w:val="none" w:sz="0" w:space="0" w:color="auto"/>
        <w:left w:val="none" w:sz="0" w:space="0" w:color="auto"/>
        <w:bottom w:val="none" w:sz="0" w:space="0" w:color="auto"/>
        <w:right w:val="none" w:sz="0" w:space="0" w:color="auto"/>
      </w:divBdr>
    </w:div>
    <w:div w:id="1907255423">
      <w:bodyDiv w:val="1"/>
      <w:marLeft w:val="0"/>
      <w:marRight w:val="0"/>
      <w:marTop w:val="0"/>
      <w:marBottom w:val="0"/>
      <w:divBdr>
        <w:top w:val="none" w:sz="0" w:space="0" w:color="auto"/>
        <w:left w:val="none" w:sz="0" w:space="0" w:color="auto"/>
        <w:bottom w:val="none" w:sz="0" w:space="0" w:color="auto"/>
        <w:right w:val="none" w:sz="0" w:space="0" w:color="auto"/>
      </w:divBdr>
    </w:div>
    <w:div w:id="1952010443">
      <w:bodyDiv w:val="1"/>
      <w:marLeft w:val="0"/>
      <w:marRight w:val="0"/>
      <w:marTop w:val="0"/>
      <w:marBottom w:val="0"/>
      <w:divBdr>
        <w:top w:val="none" w:sz="0" w:space="0" w:color="auto"/>
        <w:left w:val="none" w:sz="0" w:space="0" w:color="auto"/>
        <w:bottom w:val="none" w:sz="0" w:space="0" w:color="auto"/>
        <w:right w:val="none" w:sz="0" w:space="0" w:color="auto"/>
      </w:divBdr>
    </w:div>
    <w:div w:id="21083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anservices.arkansas.gov/wp-content/uploads/ADDT_ProcCodes.xls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manservices.arkansas.gov/wp-content/uploads/THERAPY_ProcCodes.xls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anservices.arkansas.gov/wp-content/uploads/THERAPY_ProcCodes.xlsx" TargetMode="External"/><Relationship Id="rId5" Type="http://schemas.openxmlformats.org/officeDocument/2006/relationships/numbering" Target="numbering.xml"/><Relationship Id="rId15" Type="http://schemas.openxmlformats.org/officeDocument/2006/relationships/hyperlink" Target="https://humanservices.arkansas.gov/divisions-shared-services/medical-services/helpful-information-for-providers/fee-schedul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anservices.arkansas.gov/wp-content/uploads/ADDT_ProcCode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B9816-ABEA-4988-87B6-8E1FB209AE9C}">
  <ds:schemaRefs>
    <ds:schemaRef ds:uri="http://schemas.microsoft.com/sharepoint/v3/contenttype/forms"/>
  </ds:schemaRefs>
</ds:datastoreItem>
</file>

<file path=customXml/itemProps2.xml><?xml version="1.0" encoding="utf-8"?>
<ds:datastoreItem xmlns:ds="http://schemas.openxmlformats.org/officeDocument/2006/customXml" ds:itemID="{7EFD0677-09D8-412B-89B2-C8513039299B}">
  <ds:schemaRefs>
    <ds:schemaRef ds:uri="http://purl.org/dc/terms/"/>
    <ds:schemaRef ds:uri="http://purl.org/dc/elements/1.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8e69ce0d-1efe-43da-bb4e-b658dcfa5055"/>
    <ds:schemaRef ds:uri="459a5397-efc8-4db4-9665-6751e9557ed9"/>
    <ds:schemaRef ds:uri="http://purl.org/dc/dcmitype/"/>
  </ds:schemaRefs>
</ds:datastoreItem>
</file>

<file path=customXml/itemProps3.xml><?xml version="1.0" encoding="utf-8"?>
<ds:datastoreItem xmlns:ds="http://schemas.openxmlformats.org/officeDocument/2006/customXml" ds:itemID="{2E8FD43F-23AE-4CF0-A127-3622B2C3C1C2}">
  <ds:schemaRefs>
    <ds:schemaRef ds:uri="http://schemas.microsoft.com/sharepoint/v3/contenttype/forms"/>
  </ds:schemaRefs>
</ds:datastoreItem>
</file>

<file path=customXml/itemProps4.xml><?xml version="1.0" encoding="utf-8"?>
<ds:datastoreItem xmlns:ds="http://schemas.openxmlformats.org/officeDocument/2006/customXml" ds:itemID="{6AF3CBC3-B29E-4608-8EE0-E858500E8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3323</Words>
  <Characters>21020</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Adult Developmental Day Treatment Section II</vt:lpstr>
    </vt:vector>
  </TitlesOfParts>
  <Company/>
  <LinksUpToDate>false</LinksUpToDate>
  <CharactersWithSpaces>24295</CharactersWithSpaces>
  <SharedDoc>false</SharedDoc>
  <HyperlinkBase/>
  <HLinks>
    <vt:vector size="198" baseType="variant">
      <vt:variant>
        <vt:i4>3997812</vt:i4>
      </vt:variant>
      <vt:variant>
        <vt:i4>99</vt:i4>
      </vt:variant>
      <vt:variant>
        <vt:i4>0</vt:i4>
      </vt:variant>
      <vt:variant>
        <vt:i4>5</vt:i4>
      </vt:variant>
      <vt:variant>
        <vt:lpwstr>https://humanservices.arkansas.gov/divisions-shared-services/medical-services/helpful-information-for-providers/fee-schedules/</vt:lpwstr>
      </vt:variant>
      <vt:variant>
        <vt:lpwstr/>
      </vt:variant>
      <vt:variant>
        <vt:i4>39</vt:i4>
      </vt:variant>
      <vt:variant>
        <vt:i4>96</vt:i4>
      </vt:variant>
      <vt:variant>
        <vt:i4>0</vt:i4>
      </vt:variant>
      <vt:variant>
        <vt:i4>5</vt:i4>
      </vt:variant>
      <vt:variant>
        <vt:lpwstr>https://humanservices.arkansas.gov/wp-content/uploads/ADDT_ProcCodes.xlsx</vt:lpwstr>
      </vt:variant>
      <vt:variant>
        <vt:lpwstr/>
      </vt:variant>
      <vt:variant>
        <vt:i4>39</vt:i4>
      </vt:variant>
      <vt:variant>
        <vt:i4>93</vt:i4>
      </vt:variant>
      <vt:variant>
        <vt:i4>0</vt:i4>
      </vt:variant>
      <vt:variant>
        <vt:i4>5</vt:i4>
      </vt:variant>
      <vt:variant>
        <vt:lpwstr>https://humanservices.arkansas.gov/wp-content/uploads/ADDT_ProcCodes.xlsx</vt:lpwstr>
      </vt:variant>
      <vt:variant>
        <vt:lpwstr/>
      </vt:variant>
      <vt:variant>
        <vt:i4>6553677</vt:i4>
      </vt:variant>
      <vt:variant>
        <vt:i4>90</vt:i4>
      </vt:variant>
      <vt:variant>
        <vt:i4>0</vt:i4>
      </vt:variant>
      <vt:variant>
        <vt:i4>5</vt:i4>
      </vt:variant>
      <vt:variant>
        <vt:lpwstr>https://humanservices.arkansas.gov/wp-content/uploads/THERAPY_ProcCodes.xlsx</vt:lpwstr>
      </vt:variant>
      <vt:variant>
        <vt:lpwstr/>
      </vt:variant>
      <vt:variant>
        <vt:i4>6553677</vt:i4>
      </vt:variant>
      <vt:variant>
        <vt:i4>87</vt:i4>
      </vt:variant>
      <vt:variant>
        <vt:i4>0</vt:i4>
      </vt:variant>
      <vt:variant>
        <vt:i4>5</vt:i4>
      </vt:variant>
      <vt:variant>
        <vt:lpwstr>https://humanservices.arkansas.gov/wp-content/uploads/THERAPY_ProcCodes.xlsx</vt:lpwstr>
      </vt:variant>
      <vt:variant>
        <vt:lpwstr/>
      </vt:variant>
      <vt:variant>
        <vt:i4>39</vt:i4>
      </vt:variant>
      <vt:variant>
        <vt:i4>84</vt:i4>
      </vt:variant>
      <vt:variant>
        <vt:i4>0</vt:i4>
      </vt:variant>
      <vt:variant>
        <vt:i4>5</vt:i4>
      </vt:variant>
      <vt:variant>
        <vt:lpwstr>https://humanservices.arkansas.gov/wp-content/uploads/ADDT_ProcCodes.xlsx</vt:lpwstr>
      </vt:variant>
      <vt:variant>
        <vt:lpwstr/>
      </vt:variant>
      <vt:variant>
        <vt:i4>1245237</vt:i4>
      </vt:variant>
      <vt:variant>
        <vt:i4>80</vt:i4>
      </vt:variant>
      <vt:variant>
        <vt:i4>0</vt:i4>
      </vt:variant>
      <vt:variant>
        <vt:i4>5</vt:i4>
      </vt:variant>
      <vt:variant>
        <vt:lpwstr/>
      </vt:variant>
      <vt:variant>
        <vt:lpwstr>_Toc110436777</vt:lpwstr>
      </vt:variant>
      <vt:variant>
        <vt:i4>1245237</vt:i4>
      </vt:variant>
      <vt:variant>
        <vt:i4>77</vt:i4>
      </vt:variant>
      <vt:variant>
        <vt:i4>0</vt:i4>
      </vt:variant>
      <vt:variant>
        <vt:i4>5</vt:i4>
      </vt:variant>
      <vt:variant>
        <vt:lpwstr/>
      </vt:variant>
      <vt:variant>
        <vt:lpwstr>_Toc110436776</vt:lpwstr>
      </vt:variant>
      <vt:variant>
        <vt:i4>1245237</vt:i4>
      </vt:variant>
      <vt:variant>
        <vt:i4>74</vt:i4>
      </vt:variant>
      <vt:variant>
        <vt:i4>0</vt:i4>
      </vt:variant>
      <vt:variant>
        <vt:i4>5</vt:i4>
      </vt:variant>
      <vt:variant>
        <vt:lpwstr/>
      </vt:variant>
      <vt:variant>
        <vt:lpwstr>_Toc110436775</vt:lpwstr>
      </vt:variant>
      <vt:variant>
        <vt:i4>1245237</vt:i4>
      </vt:variant>
      <vt:variant>
        <vt:i4>71</vt:i4>
      </vt:variant>
      <vt:variant>
        <vt:i4>0</vt:i4>
      </vt:variant>
      <vt:variant>
        <vt:i4>5</vt:i4>
      </vt:variant>
      <vt:variant>
        <vt:lpwstr/>
      </vt:variant>
      <vt:variant>
        <vt:lpwstr>_Toc110436774</vt:lpwstr>
      </vt:variant>
      <vt:variant>
        <vt:i4>1245237</vt:i4>
      </vt:variant>
      <vt:variant>
        <vt:i4>68</vt:i4>
      </vt:variant>
      <vt:variant>
        <vt:i4>0</vt:i4>
      </vt:variant>
      <vt:variant>
        <vt:i4>5</vt:i4>
      </vt:variant>
      <vt:variant>
        <vt:lpwstr/>
      </vt:variant>
      <vt:variant>
        <vt:lpwstr>_Toc110436773</vt:lpwstr>
      </vt:variant>
      <vt:variant>
        <vt:i4>1245237</vt:i4>
      </vt:variant>
      <vt:variant>
        <vt:i4>65</vt:i4>
      </vt:variant>
      <vt:variant>
        <vt:i4>0</vt:i4>
      </vt:variant>
      <vt:variant>
        <vt:i4>5</vt:i4>
      </vt:variant>
      <vt:variant>
        <vt:lpwstr/>
      </vt:variant>
      <vt:variant>
        <vt:lpwstr>_Toc110436772</vt:lpwstr>
      </vt:variant>
      <vt:variant>
        <vt:i4>1245237</vt:i4>
      </vt:variant>
      <vt:variant>
        <vt:i4>62</vt:i4>
      </vt:variant>
      <vt:variant>
        <vt:i4>0</vt:i4>
      </vt:variant>
      <vt:variant>
        <vt:i4>5</vt:i4>
      </vt:variant>
      <vt:variant>
        <vt:lpwstr/>
      </vt:variant>
      <vt:variant>
        <vt:lpwstr>_Toc110436771</vt:lpwstr>
      </vt:variant>
      <vt:variant>
        <vt:i4>1245237</vt:i4>
      </vt:variant>
      <vt:variant>
        <vt:i4>59</vt:i4>
      </vt:variant>
      <vt:variant>
        <vt:i4>0</vt:i4>
      </vt:variant>
      <vt:variant>
        <vt:i4>5</vt:i4>
      </vt:variant>
      <vt:variant>
        <vt:lpwstr/>
      </vt:variant>
      <vt:variant>
        <vt:lpwstr>_Toc110436770</vt:lpwstr>
      </vt:variant>
      <vt:variant>
        <vt:i4>1179701</vt:i4>
      </vt:variant>
      <vt:variant>
        <vt:i4>56</vt:i4>
      </vt:variant>
      <vt:variant>
        <vt:i4>0</vt:i4>
      </vt:variant>
      <vt:variant>
        <vt:i4>5</vt:i4>
      </vt:variant>
      <vt:variant>
        <vt:lpwstr/>
      </vt:variant>
      <vt:variant>
        <vt:lpwstr>_Toc110436769</vt:lpwstr>
      </vt:variant>
      <vt:variant>
        <vt:i4>1179701</vt:i4>
      </vt:variant>
      <vt:variant>
        <vt:i4>53</vt:i4>
      </vt:variant>
      <vt:variant>
        <vt:i4>0</vt:i4>
      </vt:variant>
      <vt:variant>
        <vt:i4>5</vt:i4>
      </vt:variant>
      <vt:variant>
        <vt:lpwstr/>
      </vt:variant>
      <vt:variant>
        <vt:lpwstr>_Toc110436768</vt:lpwstr>
      </vt:variant>
      <vt:variant>
        <vt:i4>1179701</vt:i4>
      </vt:variant>
      <vt:variant>
        <vt:i4>50</vt:i4>
      </vt:variant>
      <vt:variant>
        <vt:i4>0</vt:i4>
      </vt:variant>
      <vt:variant>
        <vt:i4>5</vt:i4>
      </vt:variant>
      <vt:variant>
        <vt:lpwstr/>
      </vt:variant>
      <vt:variant>
        <vt:lpwstr>_Toc110436767</vt:lpwstr>
      </vt:variant>
      <vt:variant>
        <vt:i4>1179701</vt:i4>
      </vt:variant>
      <vt:variant>
        <vt:i4>47</vt:i4>
      </vt:variant>
      <vt:variant>
        <vt:i4>0</vt:i4>
      </vt:variant>
      <vt:variant>
        <vt:i4>5</vt:i4>
      </vt:variant>
      <vt:variant>
        <vt:lpwstr/>
      </vt:variant>
      <vt:variant>
        <vt:lpwstr>_Toc110436766</vt:lpwstr>
      </vt:variant>
      <vt:variant>
        <vt:i4>1179701</vt:i4>
      </vt:variant>
      <vt:variant>
        <vt:i4>44</vt:i4>
      </vt:variant>
      <vt:variant>
        <vt:i4>0</vt:i4>
      </vt:variant>
      <vt:variant>
        <vt:i4>5</vt:i4>
      </vt:variant>
      <vt:variant>
        <vt:lpwstr/>
      </vt:variant>
      <vt:variant>
        <vt:lpwstr>_Toc110436765</vt:lpwstr>
      </vt:variant>
      <vt:variant>
        <vt:i4>1179701</vt:i4>
      </vt:variant>
      <vt:variant>
        <vt:i4>41</vt:i4>
      </vt:variant>
      <vt:variant>
        <vt:i4>0</vt:i4>
      </vt:variant>
      <vt:variant>
        <vt:i4>5</vt:i4>
      </vt:variant>
      <vt:variant>
        <vt:lpwstr/>
      </vt:variant>
      <vt:variant>
        <vt:lpwstr>_Toc110436764</vt:lpwstr>
      </vt:variant>
      <vt:variant>
        <vt:i4>1179701</vt:i4>
      </vt:variant>
      <vt:variant>
        <vt:i4>38</vt:i4>
      </vt:variant>
      <vt:variant>
        <vt:i4>0</vt:i4>
      </vt:variant>
      <vt:variant>
        <vt:i4>5</vt:i4>
      </vt:variant>
      <vt:variant>
        <vt:lpwstr/>
      </vt:variant>
      <vt:variant>
        <vt:lpwstr>_Toc110436763</vt:lpwstr>
      </vt:variant>
      <vt:variant>
        <vt:i4>1179701</vt:i4>
      </vt:variant>
      <vt:variant>
        <vt:i4>35</vt:i4>
      </vt:variant>
      <vt:variant>
        <vt:i4>0</vt:i4>
      </vt:variant>
      <vt:variant>
        <vt:i4>5</vt:i4>
      </vt:variant>
      <vt:variant>
        <vt:lpwstr/>
      </vt:variant>
      <vt:variant>
        <vt:lpwstr>_Toc110436762</vt:lpwstr>
      </vt:variant>
      <vt:variant>
        <vt:i4>1179701</vt:i4>
      </vt:variant>
      <vt:variant>
        <vt:i4>32</vt:i4>
      </vt:variant>
      <vt:variant>
        <vt:i4>0</vt:i4>
      </vt:variant>
      <vt:variant>
        <vt:i4>5</vt:i4>
      </vt:variant>
      <vt:variant>
        <vt:lpwstr/>
      </vt:variant>
      <vt:variant>
        <vt:lpwstr>_Toc110436761</vt:lpwstr>
      </vt:variant>
      <vt:variant>
        <vt:i4>1179701</vt:i4>
      </vt:variant>
      <vt:variant>
        <vt:i4>29</vt:i4>
      </vt:variant>
      <vt:variant>
        <vt:i4>0</vt:i4>
      </vt:variant>
      <vt:variant>
        <vt:i4>5</vt:i4>
      </vt:variant>
      <vt:variant>
        <vt:lpwstr/>
      </vt:variant>
      <vt:variant>
        <vt:lpwstr>_Toc110436760</vt:lpwstr>
      </vt:variant>
      <vt:variant>
        <vt:i4>1114165</vt:i4>
      </vt:variant>
      <vt:variant>
        <vt:i4>26</vt:i4>
      </vt:variant>
      <vt:variant>
        <vt:i4>0</vt:i4>
      </vt:variant>
      <vt:variant>
        <vt:i4>5</vt:i4>
      </vt:variant>
      <vt:variant>
        <vt:lpwstr/>
      </vt:variant>
      <vt:variant>
        <vt:lpwstr>_Toc110436759</vt:lpwstr>
      </vt:variant>
      <vt:variant>
        <vt:i4>1114165</vt:i4>
      </vt:variant>
      <vt:variant>
        <vt:i4>23</vt:i4>
      </vt:variant>
      <vt:variant>
        <vt:i4>0</vt:i4>
      </vt:variant>
      <vt:variant>
        <vt:i4>5</vt:i4>
      </vt:variant>
      <vt:variant>
        <vt:lpwstr/>
      </vt:variant>
      <vt:variant>
        <vt:lpwstr>_Toc110436758</vt:lpwstr>
      </vt:variant>
      <vt:variant>
        <vt:i4>1114165</vt:i4>
      </vt:variant>
      <vt:variant>
        <vt:i4>20</vt:i4>
      </vt:variant>
      <vt:variant>
        <vt:i4>0</vt:i4>
      </vt:variant>
      <vt:variant>
        <vt:i4>5</vt:i4>
      </vt:variant>
      <vt:variant>
        <vt:lpwstr/>
      </vt:variant>
      <vt:variant>
        <vt:lpwstr>_Toc110436757</vt:lpwstr>
      </vt:variant>
      <vt:variant>
        <vt:i4>1114165</vt:i4>
      </vt:variant>
      <vt:variant>
        <vt:i4>17</vt:i4>
      </vt:variant>
      <vt:variant>
        <vt:i4>0</vt:i4>
      </vt:variant>
      <vt:variant>
        <vt:i4>5</vt:i4>
      </vt:variant>
      <vt:variant>
        <vt:lpwstr/>
      </vt:variant>
      <vt:variant>
        <vt:lpwstr>_Toc110436756</vt:lpwstr>
      </vt:variant>
      <vt:variant>
        <vt:i4>1114165</vt:i4>
      </vt:variant>
      <vt:variant>
        <vt:i4>14</vt:i4>
      </vt:variant>
      <vt:variant>
        <vt:i4>0</vt:i4>
      </vt:variant>
      <vt:variant>
        <vt:i4>5</vt:i4>
      </vt:variant>
      <vt:variant>
        <vt:lpwstr/>
      </vt:variant>
      <vt:variant>
        <vt:lpwstr>_Toc110436755</vt:lpwstr>
      </vt:variant>
      <vt:variant>
        <vt:i4>1114165</vt:i4>
      </vt:variant>
      <vt:variant>
        <vt:i4>11</vt:i4>
      </vt:variant>
      <vt:variant>
        <vt:i4>0</vt:i4>
      </vt:variant>
      <vt:variant>
        <vt:i4>5</vt:i4>
      </vt:variant>
      <vt:variant>
        <vt:lpwstr/>
      </vt:variant>
      <vt:variant>
        <vt:lpwstr>_Toc110436754</vt:lpwstr>
      </vt:variant>
      <vt:variant>
        <vt:i4>1114165</vt:i4>
      </vt:variant>
      <vt:variant>
        <vt:i4>8</vt:i4>
      </vt:variant>
      <vt:variant>
        <vt:i4>0</vt:i4>
      </vt:variant>
      <vt:variant>
        <vt:i4>5</vt:i4>
      </vt:variant>
      <vt:variant>
        <vt:lpwstr/>
      </vt:variant>
      <vt:variant>
        <vt:lpwstr>_Toc110436753</vt:lpwstr>
      </vt:variant>
      <vt:variant>
        <vt:i4>1114165</vt:i4>
      </vt:variant>
      <vt:variant>
        <vt:i4>5</vt:i4>
      </vt:variant>
      <vt:variant>
        <vt:i4>0</vt:i4>
      </vt:variant>
      <vt:variant>
        <vt:i4>5</vt:i4>
      </vt:variant>
      <vt:variant>
        <vt:lpwstr/>
      </vt:variant>
      <vt:variant>
        <vt:lpwstr>_Toc110436752</vt:lpwstr>
      </vt:variant>
      <vt:variant>
        <vt:i4>1114165</vt:i4>
      </vt:variant>
      <vt:variant>
        <vt:i4>2</vt:i4>
      </vt:variant>
      <vt:variant>
        <vt:i4>0</vt:i4>
      </vt:variant>
      <vt:variant>
        <vt:i4>5</vt:i4>
      </vt:variant>
      <vt:variant>
        <vt:lpwstr/>
      </vt:variant>
      <vt:variant>
        <vt:lpwstr>_Toc110436751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Developmental Day Treatment Section II</dc:title>
  <dc:subject/>
  <dc:creator/>
  <cp:keywords/>
  <dc:description/>
  <cp:lastModifiedBy/>
  <cp:revision>1</cp:revision>
  <dcterms:created xsi:type="dcterms:W3CDTF">2025-02-28T15:14:00Z</dcterms:created>
  <dcterms:modified xsi:type="dcterms:W3CDTF">2025-05-28T21:32:00Z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ies>
</file>